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C0" w:rsidRPr="008B4AC0" w:rsidRDefault="008B4AC0" w:rsidP="008B4AC0">
      <w:pPr>
        <w:pStyle w:val="Title"/>
        <w:jc w:val="left"/>
        <w:rPr>
          <w:sz w:val="72"/>
          <w:szCs w:val="72"/>
        </w:rPr>
      </w:pPr>
      <w:bookmarkStart w:id="0" w:name="_GoBack"/>
      <w:bookmarkEnd w:id="0"/>
    </w:p>
    <w:p w:rsidR="008B4AC0" w:rsidRDefault="008B4AC0" w:rsidP="008B4AC0">
      <w:pPr>
        <w:pStyle w:val="Title"/>
        <w:jc w:val="left"/>
        <w:rPr>
          <w:sz w:val="72"/>
          <w:szCs w:val="72"/>
        </w:rPr>
      </w:pPr>
      <w:r w:rsidRPr="008B4AC0">
        <w:rPr>
          <w:sz w:val="72"/>
          <w:szCs w:val="72"/>
        </w:rPr>
        <w:t>ACTIVE SHOOTER GUIDELINES FOR PLACES OF MASS GATHERING</w:t>
      </w:r>
    </w:p>
    <w:p w:rsidR="008B4AC0" w:rsidRDefault="008B4AC0" w:rsidP="008B4AC0">
      <w:pPr>
        <w:pStyle w:val="Title"/>
        <w:jc w:val="left"/>
        <w:rPr>
          <w:sz w:val="72"/>
          <w:szCs w:val="72"/>
        </w:rPr>
      </w:pPr>
    </w:p>
    <w:p w:rsidR="008B4AC0" w:rsidRDefault="008B4AC0" w:rsidP="008B4AC0">
      <w:pPr>
        <w:pStyle w:val="Title"/>
        <w:jc w:val="left"/>
      </w:pPr>
      <w:r>
        <w:t>AUSTRALIA</w:t>
      </w:r>
      <w:r>
        <w:rPr>
          <w:rFonts w:cs="Arial"/>
        </w:rPr>
        <w:t>‒</w:t>
      </w:r>
      <w:r>
        <w:t>NEW ZEALAND COUNTER-TERRORISM COMMITTEE</w:t>
      </w:r>
    </w:p>
    <w:p w:rsidR="003B71C0" w:rsidRDefault="003B71C0" w:rsidP="008B4AC0">
      <w:pPr>
        <w:pStyle w:val="Title"/>
        <w:jc w:val="left"/>
      </w:pPr>
      <w:r>
        <w:br w:type="page"/>
      </w:r>
    </w:p>
    <w:p w:rsidR="00A56454" w:rsidRDefault="003A0D2C" w:rsidP="003A0D2C">
      <w:pPr>
        <w:autoSpaceDE w:val="0"/>
        <w:autoSpaceDN w:val="0"/>
        <w:adjustRightInd w:val="0"/>
        <w:spacing w:line="360" w:lineRule="auto"/>
        <w:rPr>
          <w:rFonts w:cs="Arial"/>
          <w:color w:val="000000"/>
          <w:sz w:val="16"/>
          <w:szCs w:val="16"/>
        </w:rPr>
      </w:pPr>
      <w:r w:rsidRPr="003A0D2C">
        <w:rPr>
          <w:rFonts w:cs="Arial"/>
          <w:color w:val="000000"/>
          <w:sz w:val="16"/>
          <w:szCs w:val="16"/>
        </w:rPr>
        <w:lastRenderedPageBreak/>
        <w:t>ISBN: 978-1-922032-06-5 (Print)</w:t>
      </w:r>
    </w:p>
    <w:p w:rsidR="003A0D2C" w:rsidRDefault="003A0D2C" w:rsidP="003A0D2C">
      <w:pPr>
        <w:autoSpaceDE w:val="0"/>
        <w:autoSpaceDN w:val="0"/>
        <w:adjustRightInd w:val="0"/>
        <w:spacing w:line="360" w:lineRule="auto"/>
        <w:rPr>
          <w:rFonts w:cs="Arial"/>
          <w:color w:val="000000"/>
          <w:sz w:val="16"/>
          <w:szCs w:val="16"/>
        </w:rPr>
      </w:pPr>
      <w:r w:rsidRPr="003A0D2C">
        <w:rPr>
          <w:rFonts w:cs="Arial"/>
          <w:color w:val="000000"/>
          <w:sz w:val="16"/>
          <w:szCs w:val="16"/>
        </w:rPr>
        <w:t>ISBN: 978-1-925290-51-6 (Online)</w:t>
      </w:r>
    </w:p>
    <w:p w:rsidR="003A0D2C" w:rsidRPr="00A56454" w:rsidRDefault="003A0D2C" w:rsidP="003A0D2C">
      <w:pPr>
        <w:autoSpaceDE w:val="0"/>
        <w:autoSpaceDN w:val="0"/>
        <w:adjustRightInd w:val="0"/>
        <w:spacing w:line="360" w:lineRule="auto"/>
        <w:rPr>
          <w:rFonts w:cs="Arial"/>
          <w:color w:val="000000"/>
          <w:sz w:val="16"/>
          <w:szCs w:val="16"/>
        </w:rPr>
      </w:pPr>
    </w:p>
    <w:p w:rsidR="00A56454" w:rsidRPr="00A56454" w:rsidRDefault="00A56454" w:rsidP="00D733D5">
      <w:pPr>
        <w:autoSpaceDE w:val="0"/>
        <w:autoSpaceDN w:val="0"/>
        <w:adjustRightInd w:val="0"/>
        <w:spacing w:after="240" w:line="360" w:lineRule="auto"/>
        <w:rPr>
          <w:rFonts w:cs="Arial"/>
          <w:color w:val="000000"/>
          <w:sz w:val="16"/>
          <w:szCs w:val="16"/>
        </w:rPr>
      </w:pPr>
      <w:r w:rsidRPr="00A56454">
        <w:rPr>
          <w:rFonts w:cs="Arial"/>
          <w:b/>
          <w:bCs/>
          <w:color w:val="000000"/>
          <w:sz w:val="16"/>
          <w:szCs w:val="16"/>
        </w:rPr>
        <w:t>© Commonwealth of Australia 201</w:t>
      </w:r>
      <w:r w:rsidRPr="003A0D2C">
        <w:rPr>
          <w:rFonts w:cs="Arial"/>
          <w:b/>
          <w:bCs/>
          <w:iCs/>
          <w:color w:val="000000"/>
          <w:sz w:val="16"/>
          <w:szCs w:val="16"/>
        </w:rPr>
        <w:t xml:space="preserve">5 </w:t>
      </w:r>
    </w:p>
    <w:p w:rsidR="003A0D2C" w:rsidRPr="003A0D2C" w:rsidRDefault="003A0D2C" w:rsidP="003A0D2C">
      <w:pPr>
        <w:autoSpaceDE w:val="0"/>
        <w:autoSpaceDN w:val="0"/>
        <w:adjustRightInd w:val="0"/>
        <w:spacing w:after="240" w:line="360" w:lineRule="auto"/>
        <w:rPr>
          <w:rFonts w:cs="Arial"/>
          <w:color w:val="000000"/>
          <w:sz w:val="16"/>
          <w:szCs w:val="16"/>
        </w:rPr>
      </w:pPr>
      <w:r w:rsidRPr="003A0D2C">
        <w:rPr>
          <w:rFonts w:cs="Arial"/>
          <w:color w:val="000000"/>
          <w:sz w:val="16"/>
          <w:szCs w:val="16"/>
        </w:rPr>
        <w:t>All material presented in this publication is provided under a Creative Commons Attribution 4.0 International licence (</w:t>
      </w:r>
      <w:hyperlink r:id="rId8" w:history="1">
        <w:r w:rsidRPr="0003736D">
          <w:rPr>
            <w:rStyle w:val="Hyperlink"/>
            <w:rFonts w:cs="Arial"/>
            <w:sz w:val="16"/>
            <w:szCs w:val="16"/>
          </w:rPr>
          <w:t>www.creativecommons.org/licenses</w:t>
        </w:r>
      </w:hyperlink>
      <w:r w:rsidRPr="003A0D2C">
        <w:rPr>
          <w:rFonts w:cs="Arial"/>
          <w:color w:val="000000"/>
          <w:sz w:val="16"/>
          <w:szCs w:val="16"/>
        </w:rPr>
        <w:t xml:space="preserve">). </w:t>
      </w:r>
    </w:p>
    <w:p w:rsidR="003A0D2C" w:rsidRDefault="003A0D2C" w:rsidP="003A0D2C">
      <w:pPr>
        <w:autoSpaceDE w:val="0"/>
        <w:autoSpaceDN w:val="0"/>
        <w:adjustRightInd w:val="0"/>
        <w:spacing w:after="240" w:line="360" w:lineRule="auto"/>
        <w:rPr>
          <w:rFonts w:cs="Arial"/>
          <w:color w:val="000000"/>
          <w:sz w:val="16"/>
          <w:szCs w:val="16"/>
        </w:rPr>
      </w:pPr>
      <w:r w:rsidRPr="003A0D2C">
        <w:rPr>
          <w:rFonts w:cs="Arial"/>
          <w:color w:val="000000"/>
          <w:sz w:val="16"/>
          <w:szCs w:val="16"/>
        </w:rPr>
        <w:t xml:space="preserve">For the avoidance of doubt, this means this licence only applies to material as set out in this document. </w:t>
      </w:r>
    </w:p>
    <w:p w:rsidR="000373E8" w:rsidRPr="003A0D2C" w:rsidRDefault="000373E8" w:rsidP="003A0D2C">
      <w:pPr>
        <w:autoSpaceDE w:val="0"/>
        <w:autoSpaceDN w:val="0"/>
        <w:adjustRightInd w:val="0"/>
        <w:spacing w:after="240" w:line="360" w:lineRule="auto"/>
        <w:rPr>
          <w:rFonts w:cs="Arial"/>
          <w:color w:val="000000"/>
          <w:sz w:val="16"/>
          <w:szCs w:val="16"/>
        </w:rPr>
      </w:pPr>
      <w:r>
        <w:rPr>
          <w:rFonts w:cs="Arial"/>
          <w:noProof/>
        </w:rPr>
        <w:drawing>
          <wp:inline distT="0" distB="0" distL="0" distR="0">
            <wp:extent cx="838200" cy="295275"/>
            <wp:effectExtent l="0" t="0" r="0" b="9525"/>
            <wp:docPr id="1" name="Picture 1" descr="Creative Commons -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 Attributio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A0D2C" w:rsidRPr="003A0D2C" w:rsidRDefault="003A0D2C" w:rsidP="003A0D2C">
      <w:pPr>
        <w:autoSpaceDE w:val="0"/>
        <w:autoSpaceDN w:val="0"/>
        <w:adjustRightInd w:val="0"/>
        <w:spacing w:after="240" w:line="360" w:lineRule="auto"/>
        <w:rPr>
          <w:rFonts w:cs="Arial"/>
          <w:color w:val="000000"/>
          <w:sz w:val="16"/>
          <w:szCs w:val="16"/>
        </w:rPr>
      </w:pPr>
      <w:r w:rsidRPr="003A0D2C">
        <w:rPr>
          <w:rFonts w:cs="Arial"/>
          <w:color w:val="000000"/>
          <w:sz w:val="16"/>
          <w:szCs w:val="16"/>
        </w:rPr>
        <w:t>The details of the relevant licence conditions are available on the Creative Commons website as is the full legal code for the CC BY 4.0 licence (</w:t>
      </w:r>
      <w:hyperlink r:id="rId11" w:history="1">
        <w:r w:rsidRPr="0003736D">
          <w:rPr>
            <w:rStyle w:val="Hyperlink"/>
            <w:rFonts w:cs="Arial"/>
            <w:sz w:val="16"/>
            <w:szCs w:val="16"/>
          </w:rPr>
          <w:t>www.creativecommons.org/licenses</w:t>
        </w:r>
      </w:hyperlink>
      <w:r>
        <w:rPr>
          <w:rFonts w:cs="Arial"/>
          <w:color w:val="000000"/>
          <w:sz w:val="16"/>
          <w:szCs w:val="16"/>
        </w:rPr>
        <w:t>)</w:t>
      </w:r>
      <w:r w:rsidRPr="003A0D2C">
        <w:rPr>
          <w:rFonts w:cs="Arial"/>
          <w:color w:val="000000"/>
          <w:sz w:val="16"/>
          <w:szCs w:val="16"/>
        </w:rPr>
        <w:t xml:space="preserve">. </w:t>
      </w:r>
    </w:p>
    <w:p w:rsidR="003A0D2C" w:rsidRPr="000373E8" w:rsidRDefault="003A0D2C" w:rsidP="003A0D2C">
      <w:pPr>
        <w:autoSpaceDE w:val="0"/>
        <w:autoSpaceDN w:val="0"/>
        <w:adjustRightInd w:val="0"/>
        <w:spacing w:after="240" w:line="360" w:lineRule="auto"/>
        <w:rPr>
          <w:rFonts w:cs="Arial"/>
          <w:b/>
          <w:color w:val="000000"/>
          <w:sz w:val="16"/>
          <w:szCs w:val="16"/>
        </w:rPr>
      </w:pPr>
      <w:r w:rsidRPr="000373E8">
        <w:rPr>
          <w:rFonts w:cs="Arial"/>
          <w:b/>
          <w:color w:val="000000"/>
          <w:sz w:val="16"/>
          <w:szCs w:val="16"/>
        </w:rPr>
        <w:t xml:space="preserve">Use of the Coat of Arms </w:t>
      </w:r>
    </w:p>
    <w:p w:rsidR="003A0D2C" w:rsidRPr="003A0D2C" w:rsidRDefault="003A0D2C" w:rsidP="003A0D2C">
      <w:pPr>
        <w:autoSpaceDE w:val="0"/>
        <w:autoSpaceDN w:val="0"/>
        <w:adjustRightInd w:val="0"/>
        <w:spacing w:after="240" w:line="360" w:lineRule="auto"/>
        <w:rPr>
          <w:rFonts w:cs="Arial"/>
          <w:color w:val="000000"/>
          <w:sz w:val="16"/>
          <w:szCs w:val="16"/>
        </w:rPr>
      </w:pPr>
      <w:r w:rsidRPr="003A0D2C">
        <w:rPr>
          <w:rFonts w:cs="Arial"/>
          <w:color w:val="000000"/>
          <w:sz w:val="16"/>
          <w:szCs w:val="16"/>
        </w:rPr>
        <w:t>The terms under which the Coat of Arms can be used are detailed on the It’s an Honour website (</w:t>
      </w:r>
      <w:hyperlink r:id="rId12" w:history="1">
        <w:r w:rsidRPr="0003736D">
          <w:rPr>
            <w:rStyle w:val="Hyperlink"/>
            <w:rFonts w:cs="Arial"/>
            <w:sz w:val="16"/>
            <w:szCs w:val="16"/>
          </w:rPr>
          <w:t>www.itsanhonour.gov.au</w:t>
        </w:r>
      </w:hyperlink>
      <w:r w:rsidRPr="003A0D2C">
        <w:rPr>
          <w:rFonts w:cs="Arial"/>
          <w:color w:val="000000"/>
          <w:sz w:val="16"/>
          <w:szCs w:val="16"/>
        </w:rPr>
        <w:t>).</w:t>
      </w:r>
    </w:p>
    <w:p w:rsidR="00A56454" w:rsidRPr="00744F07" w:rsidRDefault="00A56454" w:rsidP="00D733D5">
      <w:pPr>
        <w:autoSpaceDE w:val="0"/>
        <w:autoSpaceDN w:val="0"/>
        <w:adjustRightInd w:val="0"/>
        <w:spacing w:before="240" w:line="360" w:lineRule="auto"/>
        <w:rPr>
          <w:rFonts w:cs="Arial"/>
          <w:color w:val="000000"/>
          <w:sz w:val="16"/>
          <w:szCs w:val="16"/>
        </w:rPr>
      </w:pPr>
      <w:r w:rsidRPr="00744F07">
        <w:rPr>
          <w:rFonts w:cs="Arial"/>
          <w:b/>
          <w:bCs/>
          <w:color w:val="000000"/>
          <w:sz w:val="16"/>
          <w:szCs w:val="16"/>
        </w:rPr>
        <w:t xml:space="preserve">Contact us </w:t>
      </w:r>
    </w:p>
    <w:p w:rsidR="00A56454" w:rsidRPr="00744F07" w:rsidRDefault="00A56454" w:rsidP="00D733D5">
      <w:pPr>
        <w:autoSpaceDE w:val="0"/>
        <w:autoSpaceDN w:val="0"/>
        <w:adjustRightInd w:val="0"/>
        <w:spacing w:before="240" w:line="360" w:lineRule="auto"/>
        <w:rPr>
          <w:rFonts w:cs="Arial"/>
          <w:color w:val="000000"/>
          <w:sz w:val="16"/>
          <w:szCs w:val="16"/>
        </w:rPr>
      </w:pPr>
      <w:r w:rsidRPr="00744F07">
        <w:rPr>
          <w:rFonts w:cs="Arial"/>
          <w:color w:val="000000"/>
          <w:sz w:val="16"/>
          <w:szCs w:val="16"/>
        </w:rPr>
        <w:t xml:space="preserve">Enquiries regarding the licence and any use of this document </w:t>
      </w:r>
      <w:r w:rsidR="00D733D5" w:rsidRPr="00744F07">
        <w:rPr>
          <w:rFonts w:cs="Arial"/>
          <w:color w:val="000000"/>
          <w:sz w:val="16"/>
          <w:szCs w:val="16"/>
        </w:rPr>
        <w:t>are welcome</w:t>
      </w:r>
      <w:r w:rsidRPr="00744F07">
        <w:rPr>
          <w:rFonts w:cs="Arial"/>
          <w:color w:val="000000"/>
          <w:sz w:val="16"/>
          <w:szCs w:val="16"/>
        </w:rPr>
        <w:t xml:space="preserve"> at: </w:t>
      </w:r>
    </w:p>
    <w:p w:rsidR="00A56454" w:rsidRPr="00744F07" w:rsidRDefault="00A56454" w:rsidP="00A56454">
      <w:pPr>
        <w:autoSpaceDE w:val="0"/>
        <w:autoSpaceDN w:val="0"/>
        <w:adjustRightInd w:val="0"/>
        <w:spacing w:line="360" w:lineRule="auto"/>
        <w:rPr>
          <w:rFonts w:cs="Arial"/>
          <w:color w:val="000000"/>
          <w:sz w:val="16"/>
          <w:szCs w:val="16"/>
        </w:rPr>
      </w:pPr>
      <w:r w:rsidRPr="00744F07">
        <w:rPr>
          <w:rFonts w:cs="Arial"/>
          <w:color w:val="000000"/>
          <w:sz w:val="16"/>
          <w:szCs w:val="16"/>
        </w:rPr>
        <w:t xml:space="preserve">Attorney-General’s Department </w:t>
      </w:r>
    </w:p>
    <w:p w:rsidR="00A56454" w:rsidRPr="00744F07" w:rsidRDefault="00A56454" w:rsidP="00A56454">
      <w:pPr>
        <w:autoSpaceDE w:val="0"/>
        <w:autoSpaceDN w:val="0"/>
        <w:adjustRightInd w:val="0"/>
        <w:spacing w:line="360" w:lineRule="auto"/>
        <w:rPr>
          <w:rFonts w:cs="Arial"/>
          <w:color w:val="000000"/>
          <w:sz w:val="16"/>
          <w:szCs w:val="16"/>
        </w:rPr>
      </w:pPr>
      <w:r w:rsidRPr="00744F07">
        <w:rPr>
          <w:rFonts w:cs="Arial"/>
          <w:color w:val="000000"/>
          <w:sz w:val="16"/>
          <w:szCs w:val="16"/>
        </w:rPr>
        <w:t xml:space="preserve">3–5 National Circuit </w:t>
      </w:r>
    </w:p>
    <w:p w:rsidR="00A56454" w:rsidRPr="00744F07" w:rsidRDefault="00A56454" w:rsidP="00A56454">
      <w:pPr>
        <w:autoSpaceDE w:val="0"/>
        <w:autoSpaceDN w:val="0"/>
        <w:adjustRightInd w:val="0"/>
        <w:spacing w:line="360" w:lineRule="auto"/>
        <w:rPr>
          <w:rFonts w:cs="Arial"/>
          <w:color w:val="000000"/>
          <w:sz w:val="16"/>
          <w:szCs w:val="16"/>
        </w:rPr>
      </w:pPr>
      <w:r w:rsidRPr="00744F07">
        <w:rPr>
          <w:rFonts w:cs="Arial"/>
          <w:color w:val="000000"/>
          <w:sz w:val="16"/>
          <w:szCs w:val="16"/>
        </w:rPr>
        <w:t xml:space="preserve">BARTON ACT 2600 </w:t>
      </w:r>
    </w:p>
    <w:p w:rsidR="00A56454" w:rsidRDefault="00A56454" w:rsidP="00A56454">
      <w:pPr>
        <w:spacing w:line="360" w:lineRule="auto"/>
        <w:rPr>
          <w:b/>
          <w:color w:val="69809C"/>
          <w:sz w:val="32"/>
          <w14:textFill>
            <w14:solidFill>
              <w14:srgbClr w14:val="69809C">
                <w14:lumMod w14:val="75000"/>
              </w14:srgbClr>
            </w14:solidFill>
          </w14:textFill>
        </w:rPr>
      </w:pPr>
      <w:r w:rsidRPr="00744F07">
        <w:rPr>
          <w:rFonts w:cs="Arial"/>
          <w:color w:val="000000"/>
          <w:sz w:val="16"/>
          <w:szCs w:val="16"/>
        </w:rPr>
        <w:t xml:space="preserve">Email: </w:t>
      </w:r>
      <w:hyperlink r:id="rId13" w:history="1">
        <w:r w:rsidRPr="00744F07">
          <w:rPr>
            <w:rStyle w:val="Hyperlink"/>
            <w:rFonts w:cs="Arial"/>
            <w:sz w:val="16"/>
            <w:szCs w:val="16"/>
          </w:rPr>
          <w:t>copyright@ag.gov.au</w:t>
        </w:r>
      </w:hyperlink>
      <w:r>
        <w:rPr>
          <w:rFonts w:cs="Arial"/>
          <w:color w:val="000000"/>
          <w:sz w:val="16"/>
          <w:szCs w:val="16"/>
        </w:rPr>
        <w:t xml:space="preserve"> </w:t>
      </w:r>
      <w:r>
        <w:br w:type="page"/>
      </w:r>
    </w:p>
    <w:p w:rsidR="00D51F44" w:rsidRPr="00292A7D" w:rsidRDefault="001A6B41" w:rsidP="00292A7D">
      <w:pPr>
        <w:pStyle w:val="Heading1"/>
      </w:pPr>
      <w:bookmarkStart w:id="1" w:name="_Toc435611038"/>
      <w:r w:rsidRPr="00292A7D">
        <w:lastRenderedPageBreak/>
        <w:t>Contents</w:t>
      </w:r>
      <w:bookmarkEnd w:id="1"/>
    </w:p>
    <w:p w:rsidR="004A00FE" w:rsidRDefault="0068769B" w:rsidP="008579D0">
      <w:pPr>
        <w:pStyle w:val="TOC1"/>
        <w:rPr>
          <w:rFonts w:asciiTheme="minorHAnsi" w:eastAsiaTheme="minorEastAsia" w:hAnsiTheme="minorHAnsi" w:cstheme="minorBidi"/>
          <w:noProof/>
          <w:sz w:val="22"/>
          <w:szCs w:val="22"/>
        </w:rPr>
      </w:pPr>
      <w:r w:rsidRPr="00D51F44">
        <w:rPr>
          <w:rFonts w:cs="Arial"/>
        </w:rPr>
        <w:fldChar w:fldCharType="begin"/>
      </w:r>
      <w:r w:rsidR="00A045FD" w:rsidRPr="00D51F44">
        <w:rPr>
          <w:rFonts w:cs="Arial"/>
        </w:rPr>
        <w:instrText xml:space="preserve"> TOC \o "1-3" \h \z \u </w:instrText>
      </w:r>
      <w:r w:rsidRPr="00D51F44">
        <w:rPr>
          <w:rFonts w:cs="Arial"/>
        </w:rPr>
        <w:fldChar w:fldCharType="separate"/>
      </w:r>
      <w:hyperlink w:anchor="_Toc435611038" w:history="1">
        <w:r w:rsidR="004A00FE" w:rsidRPr="008579D0">
          <w:rPr>
            <w:rStyle w:val="Hyperlink"/>
            <w:b/>
            <w:noProof/>
          </w:rPr>
          <w:t>Contents</w:t>
        </w:r>
        <w:r w:rsidR="004A00FE">
          <w:rPr>
            <w:noProof/>
            <w:webHidden/>
          </w:rPr>
          <w:tab/>
        </w:r>
        <w:r w:rsidR="004A00FE">
          <w:rPr>
            <w:noProof/>
            <w:webHidden/>
          </w:rPr>
          <w:fldChar w:fldCharType="begin"/>
        </w:r>
        <w:r w:rsidR="004A00FE">
          <w:rPr>
            <w:noProof/>
            <w:webHidden/>
          </w:rPr>
          <w:instrText xml:space="preserve"> PAGEREF _Toc435611038 \h </w:instrText>
        </w:r>
        <w:r w:rsidR="004A00FE">
          <w:rPr>
            <w:noProof/>
            <w:webHidden/>
          </w:rPr>
        </w:r>
        <w:r w:rsidR="004A00FE">
          <w:rPr>
            <w:noProof/>
            <w:webHidden/>
          </w:rPr>
          <w:fldChar w:fldCharType="separate"/>
        </w:r>
        <w:r w:rsidR="008D10D8">
          <w:rPr>
            <w:noProof/>
            <w:webHidden/>
          </w:rPr>
          <w:t>3</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39" w:history="1">
        <w:r w:rsidR="004A00FE" w:rsidRPr="008579D0">
          <w:rPr>
            <w:rStyle w:val="Hyperlink"/>
            <w:b/>
            <w:noProof/>
          </w:rPr>
          <w:t>Introduction</w:t>
        </w:r>
        <w:r w:rsidR="004A00FE">
          <w:rPr>
            <w:noProof/>
            <w:webHidden/>
          </w:rPr>
          <w:tab/>
        </w:r>
        <w:r w:rsidR="004A00FE">
          <w:rPr>
            <w:noProof/>
            <w:webHidden/>
          </w:rPr>
          <w:fldChar w:fldCharType="begin"/>
        </w:r>
        <w:r w:rsidR="004A00FE">
          <w:rPr>
            <w:noProof/>
            <w:webHidden/>
          </w:rPr>
          <w:instrText xml:space="preserve"> PAGEREF _Toc435611039 \h </w:instrText>
        </w:r>
        <w:r w:rsidR="004A00FE">
          <w:rPr>
            <w:noProof/>
            <w:webHidden/>
          </w:rPr>
        </w:r>
        <w:r w:rsidR="004A00FE">
          <w:rPr>
            <w:noProof/>
            <w:webHidden/>
          </w:rPr>
          <w:fldChar w:fldCharType="separate"/>
        </w:r>
        <w:r w:rsidR="008D10D8">
          <w:rPr>
            <w:noProof/>
            <w:webHidden/>
          </w:rPr>
          <w:t>4</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0" w:history="1">
        <w:r w:rsidR="004A00FE" w:rsidRPr="008579D0">
          <w:rPr>
            <w:rStyle w:val="Hyperlink"/>
            <w:b/>
            <w:noProof/>
          </w:rPr>
          <w:t>Purpose</w:t>
        </w:r>
        <w:r w:rsidR="004A00FE">
          <w:rPr>
            <w:noProof/>
            <w:webHidden/>
          </w:rPr>
          <w:tab/>
        </w:r>
        <w:r w:rsidR="004A00FE">
          <w:rPr>
            <w:noProof/>
            <w:webHidden/>
          </w:rPr>
          <w:fldChar w:fldCharType="begin"/>
        </w:r>
        <w:r w:rsidR="004A00FE">
          <w:rPr>
            <w:noProof/>
            <w:webHidden/>
          </w:rPr>
          <w:instrText xml:space="preserve"> PAGEREF _Toc435611040 \h </w:instrText>
        </w:r>
        <w:r w:rsidR="004A00FE">
          <w:rPr>
            <w:noProof/>
            <w:webHidden/>
          </w:rPr>
        </w:r>
        <w:r w:rsidR="004A00FE">
          <w:rPr>
            <w:noProof/>
            <w:webHidden/>
          </w:rPr>
          <w:fldChar w:fldCharType="separate"/>
        </w:r>
        <w:r w:rsidR="008D10D8">
          <w:rPr>
            <w:noProof/>
            <w:webHidden/>
          </w:rPr>
          <w:t>4</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1" w:history="1">
        <w:r w:rsidR="004A00FE" w:rsidRPr="008579D0">
          <w:rPr>
            <w:rStyle w:val="Hyperlink"/>
            <w:b/>
            <w:noProof/>
          </w:rPr>
          <w:t>Glossary of terms</w:t>
        </w:r>
        <w:r w:rsidR="004A00FE">
          <w:rPr>
            <w:noProof/>
            <w:webHidden/>
          </w:rPr>
          <w:tab/>
        </w:r>
        <w:r w:rsidR="004A00FE">
          <w:rPr>
            <w:noProof/>
            <w:webHidden/>
          </w:rPr>
          <w:fldChar w:fldCharType="begin"/>
        </w:r>
        <w:r w:rsidR="004A00FE">
          <w:rPr>
            <w:noProof/>
            <w:webHidden/>
          </w:rPr>
          <w:instrText xml:space="preserve"> PAGEREF _Toc435611041 \h </w:instrText>
        </w:r>
        <w:r w:rsidR="004A00FE">
          <w:rPr>
            <w:noProof/>
            <w:webHidden/>
          </w:rPr>
        </w:r>
        <w:r w:rsidR="004A00FE">
          <w:rPr>
            <w:noProof/>
            <w:webHidden/>
          </w:rPr>
          <w:fldChar w:fldCharType="separate"/>
        </w:r>
        <w:r w:rsidR="008D10D8">
          <w:rPr>
            <w:noProof/>
            <w:webHidden/>
          </w:rPr>
          <w:t>5</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2" w:history="1">
        <w:r w:rsidR="004A00FE" w:rsidRPr="008579D0">
          <w:rPr>
            <w:rStyle w:val="Hyperlink"/>
            <w:b/>
            <w:noProof/>
          </w:rPr>
          <w:t>Threat context</w:t>
        </w:r>
        <w:r w:rsidR="004A00FE">
          <w:rPr>
            <w:noProof/>
            <w:webHidden/>
          </w:rPr>
          <w:tab/>
        </w:r>
        <w:r w:rsidR="004A00FE">
          <w:rPr>
            <w:noProof/>
            <w:webHidden/>
          </w:rPr>
          <w:fldChar w:fldCharType="begin"/>
        </w:r>
        <w:r w:rsidR="004A00FE">
          <w:rPr>
            <w:noProof/>
            <w:webHidden/>
          </w:rPr>
          <w:instrText xml:space="preserve"> PAGEREF _Toc435611042 \h </w:instrText>
        </w:r>
        <w:r w:rsidR="004A00FE">
          <w:rPr>
            <w:noProof/>
            <w:webHidden/>
          </w:rPr>
        </w:r>
        <w:r w:rsidR="004A00FE">
          <w:rPr>
            <w:noProof/>
            <w:webHidden/>
          </w:rPr>
          <w:fldChar w:fldCharType="separate"/>
        </w:r>
        <w:r w:rsidR="008D10D8">
          <w:rPr>
            <w:noProof/>
            <w:webHidden/>
          </w:rPr>
          <w:t>6</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3" w:history="1">
        <w:r w:rsidR="004A00FE" w:rsidRPr="008579D0">
          <w:rPr>
            <w:rStyle w:val="Hyperlink"/>
            <w:b/>
            <w:noProof/>
          </w:rPr>
          <w:t>Characteristics of active shooter incidents</w:t>
        </w:r>
        <w:r w:rsidR="004A00FE">
          <w:rPr>
            <w:noProof/>
            <w:webHidden/>
          </w:rPr>
          <w:tab/>
        </w:r>
        <w:r w:rsidR="004A00FE">
          <w:rPr>
            <w:noProof/>
            <w:webHidden/>
          </w:rPr>
          <w:fldChar w:fldCharType="begin"/>
        </w:r>
        <w:r w:rsidR="004A00FE">
          <w:rPr>
            <w:noProof/>
            <w:webHidden/>
          </w:rPr>
          <w:instrText xml:space="preserve"> PAGEREF _Toc435611043 \h </w:instrText>
        </w:r>
        <w:r w:rsidR="004A00FE">
          <w:rPr>
            <w:noProof/>
            <w:webHidden/>
          </w:rPr>
        </w:r>
        <w:r w:rsidR="004A00FE">
          <w:rPr>
            <w:noProof/>
            <w:webHidden/>
          </w:rPr>
          <w:fldChar w:fldCharType="separate"/>
        </w:r>
        <w:r w:rsidR="008D10D8">
          <w:rPr>
            <w:noProof/>
            <w:webHidden/>
          </w:rPr>
          <w:t>6</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44" w:history="1">
        <w:r w:rsidR="004A00FE" w:rsidRPr="005E08E6">
          <w:rPr>
            <w:rStyle w:val="Hyperlink"/>
            <w:noProof/>
          </w:rPr>
          <w:t>General features</w:t>
        </w:r>
        <w:r w:rsidR="004A00FE">
          <w:rPr>
            <w:noProof/>
            <w:webHidden/>
          </w:rPr>
          <w:tab/>
        </w:r>
        <w:r w:rsidR="008579D0">
          <w:rPr>
            <w:noProof/>
            <w:webHidden/>
          </w:rPr>
          <w:tab/>
        </w:r>
        <w:r w:rsidR="004A00FE">
          <w:rPr>
            <w:noProof/>
            <w:webHidden/>
          </w:rPr>
          <w:fldChar w:fldCharType="begin"/>
        </w:r>
        <w:r w:rsidR="004A00FE">
          <w:rPr>
            <w:noProof/>
            <w:webHidden/>
          </w:rPr>
          <w:instrText xml:space="preserve"> PAGEREF _Toc435611044 \h </w:instrText>
        </w:r>
        <w:r w:rsidR="004A00FE">
          <w:rPr>
            <w:noProof/>
            <w:webHidden/>
          </w:rPr>
        </w:r>
        <w:r w:rsidR="004A00FE">
          <w:rPr>
            <w:noProof/>
            <w:webHidden/>
          </w:rPr>
          <w:fldChar w:fldCharType="separate"/>
        </w:r>
        <w:r w:rsidR="008D10D8">
          <w:rPr>
            <w:noProof/>
            <w:webHidden/>
          </w:rPr>
          <w:t>6</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45" w:history="1">
        <w:r w:rsidR="004A00FE" w:rsidRPr="005E08E6">
          <w:rPr>
            <w:rStyle w:val="Hyperlink"/>
            <w:noProof/>
          </w:rPr>
          <w:t>Weapons</w:t>
        </w:r>
        <w:r w:rsidR="008579D0">
          <w:rPr>
            <w:noProof/>
            <w:webHidden/>
          </w:rPr>
          <w:tab/>
        </w:r>
        <w:r w:rsidR="008579D0">
          <w:rPr>
            <w:noProof/>
            <w:webHidden/>
          </w:rPr>
          <w:tab/>
        </w:r>
        <w:r w:rsidR="004A00FE">
          <w:rPr>
            <w:noProof/>
            <w:webHidden/>
          </w:rPr>
          <w:fldChar w:fldCharType="begin"/>
        </w:r>
        <w:r w:rsidR="004A00FE">
          <w:rPr>
            <w:noProof/>
            <w:webHidden/>
          </w:rPr>
          <w:instrText xml:space="preserve"> PAGEREF _Toc435611045 \h </w:instrText>
        </w:r>
        <w:r w:rsidR="004A00FE">
          <w:rPr>
            <w:noProof/>
            <w:webHidden/>
          </w:rPr>
        </w:r>
        <w:r w:rsidR="004A00FE">
          <w:rPr>
            <w:noProof/>
            <w:webHidden/>
          </w:rPr>
          <w:fldChar w:fldCharType="separate"/>
        </w:r>
        <w:r w:rsidR="008D10D8">
          <w:rPr>
            <w:noProof/>
            <w:webHidden/>
          </w:rPr>
          <w:t>7</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6" w:history="1">
        <w:r w:rsidR="004A00FE" w:rsidRPr="008579D0">
          <w:rPr>
            <w:rStyle w:val="Hyperlink"/>
            <w:b/>
            <w:noProof/>
          </w:rPr>
          <w:t>Primary objectives</w:t>
        </w:r>
        <w:r w:rsidR="004A00FE">
          <w:rPr>
            <w:noProof/>
            <w:webHidden/>
          </w:rPr>
          <w:tab/>
        </w:r>
        <w:r w:rsidR="004A00FE">
          <w:rPr>
            <w:noProof/>
            <w:webHidden/>
          </w:rPr>
          <w:fldChar w:fldCharType="begin"/>
        </w:r>
        <w:r w:rsidR="004A00FE">
          <w:rPr>
            <w:noProof/>
            <w:webHidden/>
          </w:rPr>
          <w:instrText xml:space="preserve"> PAGEREF _Toc435611046 \h </w:instrText>
        </w:r>
        <w:r w:rsidR="004A00FE">
          <w:rPr>
            <w:noProof/>
            <w:webHidden/>
          </w:rPr>
        </w:r>
        <w:r w:rsidR="004A00FE">
          <w:rPr>
            <w:noProof/>
            <w:webHidden/>
          </w:rPr>
          <w:fldChar w:fldCharType="separate"/>
        </w:r>
        <w:r w:rsidR="008D10D8">
          <w:rPr>
            <w:noProof/>
            <w:webHidden/>
          </w:rPr>
          <w:t>7</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7" w:history="1">
        <w:r w:rsidR="004A00FE" w:rsidRPr="008579D0">
          <w:rPr>
            <w:rStyle w:val="Hyperlink"/>
            <w:b/>
            <w:noProof/>
          </w:rPr>
          <w:t>Prevention</w:t>
        </w:r>
        <w:r w:rsidR="004A00FE">
          <w:rPr>
            <w:noProof/>
            <w:webHidden/>
          </w:rPr>
          <w:tab/>
        </w:r>
        <w:r w:rsidR="004A00FE">
          <w:rPr>
            <w:noProof/>
            <w:webHidden/>
          </w:rPr>
          <w:fldChar w:fldCharType="begin"/>
        </w:r>
        <w:r w:rsidR="004A00FE">
          <w:rPr>
            <w:noProof/>
            <w:webHidden/>
          </w:rPr>
          <w:instrText xml:space="preserve"> PAGEREF _Toc435611047 \h </w:instrText>
        </w:r>
        <w:r w:rsidR="004A00FE">
          <w:rPr>
            <w:noProof/>
            <w:webHidden/>
          </w:rPr>
        </w:r>
        <w:r w:rsidR="004A00FE">
          <w:rPr>
            <w:noProof/>
            <w:webHidden/>
          </w:rPr>
          <w:fldChar w:fldCharType="separate"/>
        </w:r>
        <w:r w:rsidR="008D10D8">
          <w:rPr>
            <w:noProof/>
            <w:webHidden/>
          </w:rPr>
          <w:t>7</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48" w:history="1">
        <w:r w:rsidR="004A00FE" w:rsidRPr="008579D0">
          <w:rPr>
            <w:rStyle w:val="Hyperlink"/>
            <w:b/>
            <w:noProof/>
          </w:rPr>
          <w:t>Preparedness</w:t>
        </w:r>
        <w:r w:rsidR="004A00FE">
          <w:rPr>
            <w:noProof/>
            <w:webHidden/>
          </w:rPr>
          <w:tab/>
        </w:r>
        <w:r w:rsidR="004A00FE">
          <w:rPr>
            <w:noProof/>
            <w:webHidden/>
          </w:rPr>
          <w:fldChar w:fldCharType="begin"/>
        </w:r>
        <w:r w:rsidR="004A00FE">
          <w:rPr>
            <w:noProof/>
            <w:webHidden/>
          </w:rPr>
          <w:instrText xml:space="preserve"> PAGEREF _Toc435611048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49" w:history="1">
        <w:r w:rsidR="004A00FE" w:rsidRPr="005E08E6">
          <w:rPr>
            <w:rStyle w:val="Hyperlink"/>
            <w:noProof/>
          </w:rPr>
          <w:t>Contingency planning</w:t>
        </w:r>
        <w:r w:rsidR="004A00FE">
          <w:rPr>
            <w:noProof/>
            <w:webHidden/>
          </w:rPr>
          <w:tab/>
        </w:r>
        <w:r w:rsidR="004A00FE">
          <w:rPr>
            <w:noProof/>
            <w:webHidden/>
          </w:rPr>
          <w:fldChar w:fldCharType="begin"/>
        </w:r>
        <w:r w:rsidR="004A00FE">
          <w:rPr>
            <w:noProof/>
            <w:webHidden/>
          </w:rPr>
          <w:instrText xml:space="preserve"> PAGEREF _Toc435611049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3"/>
        <w:tabs>
          <w:tab w:val="right" w:leader="dot" w:pos="9628"/>
        </w:tabs>
        <w:spacing w:line="360" w:lineRule="auto"/>
        <w:rPr>
          <w:rFonts w:asciiTheme="minorHAnsi" w:eastAsiaTheme="minorEastAsia" w:hAnsiTheme="minorHAnsi" w:cstheme="minorBidi"/>
          <w:noProof/>
          <w:sz w:val="22"/>
          <w:szCs w:val="22"/>
        </w:rPr>
      </w:pPr>
      <w:hyperlink w:anchor="_Toc435611050" w:history="1">
        <w:r w:rsidR="004A00FE" w:rsidRPr="005E08E6">
          <w:rPr>
            <w:rStyle w:val="Hyperlink"/>
            <w:noProof/>
          </w:rPr>
          <w:t>Combined and coordinated management</w:t>
        </w:r>
        <w:r w:rsidR="004A00FE">
          <w:rPr>
            <w:noProof/>
            <w:webHidden/>
          </w:rPr>
          <w:tab/>
        </w:r>
        <w:r w:rsidR="004A00FE">
          <w:rPr>
            <w:noProof/>
            <w:webHidden/>
          </w:rPr>
          <w:fldChar w:fldCharType="begin"/>
        </w:r>
        <w:r w:rsidR="004A00FE">
          <w:rPr>
            <w:noProof/>
            <w:webHidden/>
          </w:rPr>
          <w:instrText xml:space="preserve"> PAGEREF _Toc435611050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3"/>
        <w:tabs>
          <w:tab w:val="right" w:leader="dot" w:pos="9628"/>
        </w:tabs>
        <w:spacing w:line="360" w:lineRule="auto"/>
        <w:rPr>
          <w:rFonts w:asciiTheme="minorHAnsi" w:eastAsiaTheme="minorEastAsia" w:hAnsiTheme="minorHAnsi" w:cstheme="minorBidi"/>
          <w:noProof/>
          <w:sz w:val="22"/>
          <w:szCs w:val="22"/>
        </w:rPr>
      </w:pPr>
      <w:hyperlink w:anchor="_Toc435611051" w:history="1">
        <w:r w:rsidR="004A00FE" w:rsidRPr="005E08E6">
          <w:rPr>
            <w:rStyle w:val="Hyperlink"/>
            <w:noProof/>
          </w:rPr>
          <w:t>Assessment</w:t>
        </w:r>
        <w:r w:rsidR="004A00FE">
          <w:rPr>
            <w:noProof/>
            <w:webHidden/>
          </w:rPr>
          <w:tab/>
        </w:r>
        <w:r w:rsidR="004A00FE">
          <w:rPr>
            <w:noProof/>
            <w:webHidden/>
          </w:rPr>
          <w:fldChar w:fldCharType="begin"/>
        </w:r>
        <w:r w:rsidR="004A00FE">
          <w:rPr>
            <w:noProof/>
            <w:webHidden/>
          </w:rPr>
          <w:instrText xml:space="preserve"> PAGEREF _Toc435611051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3"/>
        <w:tabs>
          <w:tab w:val="right" w:leader="dot" w:pos="9628"/>
        </w:tabs>
        <w:spacing w:line="360" w:lineRule="auto"/>
        <w:rPr>
          <w:rFonts w:asciiTheme="minorHAnsi" w:eastAsiaTheme="minorEastAsia" w:hAnsiTheme="minorHAnsi" w:cstheme="minorBidi"/>
          <w:noProof/>
          <w:sz w:val="22"/>
          <w:szCs w:val="22"/>
        </w:rPr>
      </w:pPr>
      <w:hyperlink w:anchor="_Toc435611052" w:history="1">
        <w:r w:rsidR="004A00FE" w:rsidRPr="005E08E6">
          <w:rPr>
            <w:rStyle w:val="Hyperlink"/>
            <w:noProof/>
          </w:rPr>
          <w:t>Response</w:t>
        </w:r>
        <w:r w:rsidR="004A00FE">
          <w:rPr>
            <w:noProof/>
            <w:webHidden/>
          </w:rPr>
          <w:tab/>
        </w:r>
        <w:r w:rsidR="004A00FE">
          <w:rPr>
            <w:noProof/>
            <w:webHidden/>
          </w:rPr>
          <w:fldChar w:fldCharType="begin"/>
        </w:r>
        <w:r w:rsidR="004A00FE">
          <w:rPr>
            <w:noProof/>
            <w:webHidden/>
          </w:rPr>
          <w:instrText xml:space="preserve"> PAGEREF _Toc435611052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53" w:history="1">
        <w:r w:rsidR="004A00FE" w:rsidRPr="008579D0">
          <w:rPr>
            <w:rStyle w:val="Hyperlink"/>
            <w:b/>
            <w:noProof/>
          </w:rPr>
          <w:t>Response</w:t>
        </w:r>
        <w:r w:rsidR="004A00FE">
          <w:rPr>
            <w:noProof/>
            <w:webHidden/>
          </w:rPr>
          <w:tab/>
        </w:r>
        <w:r w:rsidR="004A00FE">
          <w:rPr>
            <w:noProof/>
            <w:webHidden/>
          </w:rPr>
          <w:fldChar w:fldCharType="begin"/>
        </w:r>
        <w:r w:rsidR="004A00FE">
          <w:rPr>
            <w:noProof/>
            <w:webHidden/>
          </w:rPr>
          <w:instrText xml:space="preserve"> PAGEREF _Toc435611053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54" w:history="1">
        <w:r w:rsidR="004A00FE" w:rsidRPr="005E08E6">
          <w:rPr>
            <w:rStyle w:val="Hyperlink"/>
            <w:noProof/>
          </w:rPr>
          <w:t>Initial response</w:t>
        </w:r>
        <w:r w:rsidR="004A00FE">
          <w:rPr>
            <w:noProof/>
            <w:webHidden/>
          </w:rPr>
          <w:tab/>
        </w:r>
        <w:r w:rsidR="008579D0">
          <w:rPr>
            <w:noProof/>
            <w:webHidden/>
          </w:rPr>
          <w:tab/>
        </w:r>
        <w:r w:rsidR="004A00FE">
          <w:rPr>
            <w:noProof/>
            <w:webHidden/>
          </w:rPr>
          <w:fldChar w:fldCharType="begin"/>
        </w:r>
        <w:r w:rsidR="004A00FE">
          <w:rPr>
            <w:noProof/>
            <w:webHidden/>
          </w:rPr>
          <w:instrText xml:space="preserve"> PAGEREF _Toc435611054 \h </w:instrText>
        </w:r>
        <w:r w:rsidR="004A00FE">
          <w:rPr>
            <w:noProof/>
            <w:webHidden/>
          </w:rPr>
        </w:r>
        <w:r w:rsidR="004A00FE">
          <w:rPr>
            <w:noProof/>
            <w:webHidden/>
          </w:rPr>
          <w:fldChar w:fldCharType="separate"/>
        </w:r>
        <w:r w:rsidR="008D10D8">
          <w:rPr>
            <w:noProof/>
            <w:webHidden/>
          </w:rPr>
          <w:t>8</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55" w:history="1">
        <w:r w:rsidR="004A00FE" w:rsidRPr="005E08E6">
          <w:rPr>
            <w:rStyle w:val="Hyperlink"/>
            <w:noProof/>
          </w:rPr>
          <w:t>Transition considerations</w:t>
        </w:r>
        <w:r w:rsidR="004A00FE">
          <w:rPr>
            <w:noProof/>
            <w:webHidden/>
          </w:rPr>
          <w:tab/>
        </w:r>
        <w:r w:rsidR="004A00FE">
          <w:rPr>
            <w:noProof/>
            <w:webHidden/>
          </w:rPr>
          <w:fldChar w:fldCharType="begin"/>
        </w:r>
        <w:r w:rsidR="004A00FE">
          <w:rPr>
            <w:noProof/>
            <w:webHidden/>
          </w:rPr>
          <w:instrText xml:space="preserve"> PAGEREF _Toc435611055 \h </w:instrText>
        </w:r>
        <w:r w:rsidR="004A00FE">
          <w:rPr>
            <w:noProof/>
            <w:webHidden/>
          </w:rPr>
        </w:r>
        <w:r w:rsidR="004A00FE">
          <w:rPr>
            <w:noProof/>
            <w:webHidden/>
          </w:rPr>
          <w:fldChar w:fldCharType="separate"/>
        </w:r>
        <w:r w:rsidR="008D10D8">
          <w:rPr>
            <w:noProof/>
            <w:webHidden/>
          </w:rPr>
          <w:t>9</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56" w:history="1">
        <w:r w:rsidR="004A00FE" w:rsidRPr="005E08E6">
          <w:rPr>
            <w:rStyle w:val="Hyperlink"/>
            <w:noProof/>
          </w:rPr>
          <w:t>Police response</w:t>
        </w:r>
        <w:r w:rsidR="004A00FE">
          <w:rPr>
            <w:noProof/>
            <w:webHidden/>
          </w:rPr>
          <w:tab/>
        </w:r>
        <w:r w:rsidR="008579D0">
          <w:rPr>
            <w:noProof/>
            <w:webHidden/>
          </w:rPr>
          <w:tab/>
        </w:r>
        <w:r w:rsidR="004A00FE">
          <w:rPr>
            <w:noProof/>
            <w:webHidden/>
          </w:rPr>
          <w:fldChar w:fldCharType="begin"/>
        </w:r>
        <w:r w:rsidR="004A00FE">
          <w:rPr>
            <w:noProof/>
            <w:webHidden/>
          </w:rPr>
          <w:instrText xml:space="preserve"> PAGEREF _Toc435611056 \h </w:instrText>
        </w:r>
        <w:r w:rsidR="004A00FE">
          <w:rPr>
            <w:noProof/>
            <w:webHidden/>
          </w:rPr>
        </w:r>
        <w:r w:rsidR="004A00FE">
          <w:rPr>
            <w:noProof/>
            <w:webHidden/>
          </w:rPr>
          <w:fldChar w:fldCharType="separate"/>
        </w:r>
        <w:r w:rsidR="008D10D8">
          <w:rPr>
            <w:noProof/>
            <w:webHidden/>
          </w:rPr>
          <w:t>9</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57" w:history="1">
        <w:r w:rsidR="004A00FE" w:rsidRPr="008579D0">
          <w:rPr>
            <w:rStyle w:val="Hyperlink"/>
            <w:b/>
            <w:noProof/>
          </w:rPr>
          <w:t>Recovery</w:t>
        </w:r>
        <w:r w:rsidR="004A00FE">
          <w:rPr>
            <w:noProof/>
            <w:webHidden/>
          </w:rPr>
          <w:tab/>
        </w:r>
        <w:r w:rsidR="004A00FE">
          <w:rPr>
            <w:noProof/>
            <w:webHidden/>
          </w:rPr>
          <w:fldChar w:fldCharType="begin"/>
        </w:r>
        <w:r w:rsidR="004A00FE">
          <w:rPr>
            <w:noProof/>
            <w:webHidden/>
          </w:rPr>
          <w:instrText xml:space="preserve"> PAGEREF _Toc435611057 \h </w:instrText>
        </w:r>
        <w:r w:rsidR="004A00FE">
          <w:rPr>
            <w:noProof/>
            <w:webHidden/>
          </w:rPr>
        </w:r>
        <w:r w:rsidR="004A00FE">
          <w:rPr>
            <w:noProof/>
            <w:webHidden/>
          </w:rPr>
          <w:fldChar w:fldCharType="separate"/>
        </w:r>
        <w:r w:rsidR="008D10D8">
          <w:rPr>
            <w:noProof/>
            <w:webHidden/>
          </w:rPr>
          <w:t>10</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58" w:history="1">
        <w:r w:rsidR="004A00FE" w:rsidRPr="005E08E6">
          <w:rPr>
            <w:rStyle w:val="Hyperlink"/>
            <w:noProof/>
          </w:rPr>
          <w:t>Public information</w:t>
        </w:r>
        <w:r w:rsidR="004A00FE">
          <w:rPr>
            <w:noProof/>
            <w:webHidden/>
          </w:rPr>
          <w:tab/>
        </w:r>
        <w:r w:rsidR="004A00FE">
          <w:rPr>
            <w:noProof/>
            <w:webHidden/>
          </w:rPr>
          <w:fldChar w:fldCharType="begin"/>
        </w:r>
        <w:r w:rsidR="004A00FE">
          <w:rPr>
            <w:noProof/>
            <w:webHidden/>
          </w:rPr>
          <w:instrText xml:space="preserve"> PAGEREF _Toc435611058 \h </w:instrText>
        </w:r>
        <w:r w:rsidR="004A00FE">
          <w:rPr>
            <w:noProof/>
            <w:webHidden/>
          </w:rPr>
        </w:r>
        <w:r w:rsidR="004A00FE">
          <w:rPr>
            <w:noProof/>
            <w:webHidden/>
          </w:rPr>
          <w:fldChar w:fldCharType="separate"/>
        </w:r>
        <w:r w:rsidR="008D10D8">
          <w:rPr>
            <w:noProof/>
            <w:webHidden/>
          </w:rPr>
          <w:t>10</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59" w:history="1">
        <w:r w:rsidR="004A00FE" w:rsidRPr="005E08E6">
          <w:rPr>
            <w:rStyle w:val="Hyperlink"/>
            <w:noProof/>
          </w:rPr>
          <w:t>Crime scene and investigation activities</w:t>
        </w:r>
        <w:r w:rsidR="004A00FE">
          <w:rPr>
            <w:noProof/>
            <w:webHidden/>
          </w:rPr>
          <w:tab/>
        </w:r>
        <w:r w:rsidR="004A00FE">
          <w:rPr>
            <w:noProof/>
            <w:webHidden/>
          </w:rPr>
          <w:fldChar w:fldCharType="begin"/>
        </w:r>
        <w:r w:rsidR="004A00FE">
          <w:rPr>
            <w:noProof/>
            <w:webHidden/>
          </w:rPr>
          <w:instrText xml:space="preserve"> PAGEREF _Toc435611059 \h </w:instrText>
        </w:r>
        <w:r w:rsidR="004A00FE">
          <w:rPr>
            <w:noProof/>
            <w:webHidden/>
          </w:rPr>
        </w:r>
        <w:r w:rsidR="004A00FE">
          <w:rPr>
            <w:noProof/>
            <w:webHidden/>
          </w:rPr>
          <w:fldChar w:fldCharType="separate"/>
        </w:r>
        <w:r w:rsidR="008D10D8">
          <w:rPr>
            <w:noProof/>
            <w:webHidden/>
          </w:rPr>
          <w:t>11</w:t>
        </w:r>
        <w:r w:rsidR="004A00FE">
          <w:rPr>
            <w:noProof/>
            <w:webHidden/>
          </w:rPr>
          <w:fldChar w:fldCharType="end"/>
        </w:r>
      </w:hyperlink>
    </w:p>
    <w:p w:rsidR="004A00FE" w:rsidRDefault="00615ABE" w:rsidP="008579D0">
      <w:pPr>
        <w:pStyle w:val="TOC2"/>
        <w:rPr>
          <w:rFonts w:asciiTheme="minorHAnsi" w:eastAsiaTheme="minorEastAsia" w:hAnsiTheme="minorHAnsi" w:cstheme="minorBidi"/>
          <w:noProof/>
          <w:sz w:val="22"/>
          <w:szCs w:val="22"/>
        </w:rPr>
      </w:pPr>
      <w:hyperlink w:anchor="_Toc435611060" w:history="1">
        <w:r w:rsidR="004A00FE" w:rsidRPr="005E08E6">
          <w:rPr>
            <w:rStyle w:val="Hyperlink"/>
            <w:noProof/>
          </w:rPr>
          <w:t>Business continuity</w:t>
        </w:r>
        <w:r w:rsidR="004A00FE">
          <w:rPr>
            <w:noProof/>
            <w:webHidden/>
          </w:rPr>
          <w:tab/>
        </w:r>
        <w:r w:rsidR="004A00FE">
          <w:rPr>
            <w:noProof/>
            <w:webHidden/>
          </w:rPr>
          <w:fldChar w:fldCharType="begin"/>
        </w:r>
        <w:r w:rsidR="004A00FE">
          <w:rPr>
            <w:noProof/>
            <w:webHidden/>
          </w:rPr>
          <w:instrText xml:space="preserve"> PAGEREF _Toc435611060 \h </w:instrText>
        </w:r>
        <w:r w:rsidR="004A00FE">
          <w:rPr>
            <w:noProof/>
            <w:webHidden/>
          </w:rPr>
        </w:r>
        <w:r w:rsidR="004A00FE">
          <w:rPr>
            <w:noProof/>
            <w:webHidden/>
          </w:rPr>
          <w:fldChar w:fldCharType="separate"/>
        </w:r>
        <w:r w:rsidR="008D10D8">
          <w:rPr>
            <w:noProof/>
            <w:webHidden/>
          </w:rPr>
          <w:t>11</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61" w:history="1">
        <w:r w:rsidR="004A00FE" w:rsidRPr="008579D0">
          <w:rPr>
            <w:rStyle w:val="Hyperlink"/>
            <w:b/>
            <w:noProof/>
          </w:rPr>
          <w:t>Useful links</w:t>
        </w:r>
        <w:r w:rsidR="004A00FE">
          <w:rPr>
            <w:noProof/>
            <w:webHidden/>
          </w:rPr>
          <w:tab/>
        </w:r>
        <w:r w:rsidR="004A00FE">
          <w:rPr>
            <w:noProof/>
            <w:webHidden/>
          </w:rPr>
          <w:fldChar w:fldCharType="begin"/>
        </w:r>
        <w:r w:rsidR="004A00FE">
          <w:rPr>
            <w:noProof/>
            <w:webHidden/>
          </w:rPr>
          <w:instrText xml:space="preserve"> PAGEREF _Toc435611061 \h </w:instrText>
        </w:r>
        <w:r w:rsidR="004A00FE">
          <w:rPr>
            <w:noProof/>
            <w:webHidden/>
          </w:rPr>
        </w:r>
        <w:r w:rsidR="004A00FE">
          <w:rPr>
            <w:noProof/>
            <w:webHidden/>
          </w:rPr>
          <w:fldChar w:fldCharType="separate"/>
        </w:r>
        <w:r w:rsidR="008D10D8">
          <w:rPr>
            <w:noProof/>
            <w:webHidden/>
          </w:rPr>
          <w:t>11</w:t>
        </w:r>
        <w:r w:rsidR="004A00FE">
          <w:rPr>
            <w:noProof/>
            <w:webHidden/>
          </w:rPr>
          <w:fldChar w:fldCharType="end"/>
        </w:r>
      </w:hyperlink>
    </w:p>
    <w:p w:rsidR="004A00FE" w:rsidRDefault="00615ABE" w:rsidP="008579D0">
      <w:pPr>
        <w:pStyle w:val="TOC1"/>
        <w:rPr>
          <w:rFonts w:asciiTheme="minorHAnsi" w:eastAsiaTheme="minorEastAsia" w:hAnsiTheme="minorHAnsi" w:cstheme="minorBidi"/>
          <w:noProof/>
          <w:sz w:val="22"/>
          <w:szCs w:val="22"/>
        </w:rPr>
      </w:pPr>
      <w:hyperlink w:anchor="_Toc435611062" w:history="1">
        <w:r w:rsidR="004A00FE" w:rsidRPr="008579D0">
          <w:rPr>
            <w:rStyle w:val="Hyperlink"/>
            <w:b/>
            <w:noProof/>
          </w:rPr>
          <w:t>Version control</w:t>
        </w:r>
        <w:r w:rsidR="004A00FE">
          <w:rPr>
            <w:noProof/>
            <w:webHidden/>
          </w:rPr>
          <w:tab/>
        </w:r>
        <w:r w:rsidR="004A00FE">
          <w:rPr>
            <w:noProof/>
            <w:webHidden/>
          </w:rPr>
          <w:fldChar w:fldCharType="begin"/>
        </w:r>
        <w:r w:rsidR="004A00FE">
          <w:rPr>
            <w:noProof/>
            <w:webHidden/>
          </w:rPr>
          <w:instrText xml:space="preserve"> PAGEREF _Toc435611062 \h </w:instrText>
        </w:r>
        <w:r w:rsidR="004A00FE">
          <w:rPr>
            <w:noProof/>
            <w:webHidden/>
          </w:rPr>
        </w:r>
        <w:r w:rsidR="004A00FE">
          <w:rPr>
            <w:noProof/>
            <w:webHidden/>
          </w:rPr>
          <w:fldChar w:fldCharType="separate"/>
        </w:r>
        <w:r w:rsidR="008D10D8">
          <w:rPr>
            <w:noProof/>
            <w:webHidden/>
          </w:rPr>
          <w:t>11</w:t>
        </w:r>
        <w:r w:rsidR="004A00FE">
          <w:rPr>
            <w:noProof/>
            <w:webHidden/>
          </w:rPr>
          <w:fldChar w:fldCharType="end"/>
        </w:r>
      </w:hyperlink>
    </w:p>
    <w:p w:rsidR="004576CD" w:rsidRPr="0049313C" w:rsidRDefault="0068769B" w:rsidP="002264D2">
      <w:pPr>
        <w:spacing w:line="360" w:lineRule="auto"/>
        <w:sectPr w:rsidR="004576CD" w:rsidRPr="0049313C" w:rsidSect="005379CC">
          <w:headerReference w:type="even" r:id="rId14"/>
          <w:headerReference w:type="default" r:id="rId15"/>
          <w:footerReference w:type="default" r:id="rId16"/>
          <w:footerReference w:type="first" r:id="rId17"/>
          <w:pgSz w:w="11906" w:h="16838" w:code="9"/>
          <w:pgMar w:top="709" w:right="1134" w:bottom="567" w:left="1134" w:header="720" w:footer="400" w:gutter="0"/>
          <w:cols w:space="720"/>
          <w:titlePg/>
          <w:docGrid w:linePitch="272"/>
        </w:sectPr>
      </w:pPr>
      <w:r w:rsidRPr="00D51F44">
        <w:rPr>
          <w:rFonts w:cs="Arial"/>
        </w:rPr>
        <w:fldChar w:fldCharType="end"/>
      </w:r>
    </w:p>
    <w:p w:rsidR="00923128" w:rsidRPr="0049313C" w:rsidRDefault="00923128" w:rsidP="00B615B1">
      <w:pPr>
        <w:rPr>
          <w:szCs w:val="24"/>
        </w:rPr>
      </w:pPr>
    </w:p>
    <w:p w:rsidR="009F164E" w:rsidRPr="0049313C" w:rsidRDefault="00A56454" w:rsidP="00A0333F">
      <w:pPr>
        <w:pStyle w:val="Heading1"/>
      </w:pPr>
      <w:bookmarkStart w:id="2" w:name="_Toc435611039"/>
      <w:bookmarkStart w:id="3" w:name="OLE_LINK6"/>
      <w:bookmarkStart w:id="4" w:name="OLE_LINK7"/>
      <w:r>
        <w:t>Introduction</w:t>
      </w:r>
      <w:bookmarkEnd w:id="2"/>
    </w:p>
    <w:bookmarkEnd w:id="3"/>
    <w:bookmarkEnd w:id="4"/>
    <w:p w:rsidR="002446FC" w:rsidRDefault="00A56454" w:rsidP="002446FC">
      <w:pPr>
        <w:spacing w:after="240"/>
      </w:pPr>
      <w:r w:rsidRPr="00A56454">
        <w:t>Places of mass gathering (PMG) can pose a broad range of security challenges for their owners and operators. They have been specifically identified—both nationally and</w:t>
      </w:r>
      <w:r>
        <w:t xml:space="preserve"> </w:t>
      </w:r>
      <w:r w:rsidRPr="00A56454">
        <w:t xml:space="preserve">internationally—as attractive targets for religious and political extremists, as well as disgruntled or mentally impaired individuals. Armed offender attacks have occurred and continue to occur in crowded places </w:t>
      </w:r>
      <w:r>
        <w:t xml:space="preserve">such as sporting, transport and entertainment </w:t>
      </w:r>
      <w:r w:rsidRPr="00A56454">
        <w:t>venues. Government and private sector stakeholders must work cooperatively to ensure that integrated and effective plans and arrangements are in place to prevent or reduce the impact of such incidents</w:t>
      </w:r>
      <w:r>
        <w:t>.</w:t>
      </w:r>
    </w:p>
    <w:p w:rsidR="009F164E" w:rsidRPr="002446FC" w:rsidRDefault="002446FC" w:rsidP="002446FC">
      <w:pPr>
        <w:pStyle w:val="PlainText"/>
        <w:spacing w:after="240"/>
        <w:rPr>
          <w:i/>
        </w:rPr>
      </w:pPr>
      <w:r>
        <w:t xml:space="preserve">These guidelines are intended to increase understanding of the threat that </w:t>
      </w:r>
      <w:r w:rsidRPr="002446FC">
        <w:rPr>
          <w:b/>
          <w:i/>
        </w:rPr>
        <w:t>active shooter</w:t>
      </w:r>
      <w:r>
        <w:t xml:space="preserve"> incidents pose to PMG. In particular, they seek to illustrate the key role that private sector stakeholders can play in developing and implementing appropriately informed prevention, preparedness, </w:t>
      </w:r>
      <w:proofErr w:type="gramStart"/>
      <w:r>
        <w:t>response</w:t>
      </w:r>
      <w:proofErr w:type="gramEnd"/>
      <w:r>
        <w:t xml:space="preserve"> and recovery arrangements to reduce the risks posed by such a threat. The guidance material has been developed by the Mass Gatherings Advisory Group on behalf of the Australia-New Zealand Counter-Terrorism Committee (ANZCTC), with input from the Mass Gatherings Business Advisory Group. It should be read in conjunction with the Australia and New Zealand Counter-Terrorism Committee’s </w:t>
      </w:r>
      <w:r w:rsidRPr="002446FC">
        <w:rPr>
          <w:i/>
        </w:rPr>
        <w:t xml:space="preserve">National Guidelines for the Protection of Places of Mass </w:t>
      </w:r>
      <w:r>
        <w:rPr>
          <w:i/>
        </w:rPr>
        <w:t>Gathering from Terrorism (2011).</w:t>
      </w:r>
    </w:p>
    <w:p w:rsidR="009F164E" w:rsidRPr="0049313C" w:rsidRDefault="002446FC" w:rsidP="00A0333F">
      <w:pPr>
        <w:pStyle w:val="Heading1"/>
      </w:pPr>
      <w:bookmarkStart w:id="5" w:name="_Toc435611040"/>
      <w:r>
        <w:t>Purpose</w:t>
      </w:r>
      <w:bookmarkEnd w:id="5"/>
    </w:p>
    <w:p w:rsidR="002446FC" w:rsidRDefault="002446FC" w:rsidP="002446FC">
      <w:pPr>
        <w:spacing w:after="240"/>
      </w:pPr>
      <w:r>
        <w:t xml:space="preserve">These guidelines aim to increase stakeholder awareness of this particular type of dynamic threat, while also providing guidance on the issues and options that may be considered during risk mitigation and contingency planning activities. The </w:t>
      </w:r>
      <w:r w:rsidRPr="002446FC">
        <w:rPr>
          <w:i/>
        </w:rPr>
        <w:t>National Guidelines</w:t>
      </w:r>
      <w:r>
        <w:t xml:space="preserve"> (2011) set out several broad guiding principles that public and private sector stakeholders should consider </w:t>
      </w:r>
      <w:proofErr w:type="gramStart"/>
      <w:r>
        <w:t>to reduce</w:t>
      </w:r>
      <w:proofErr w:type="gramEnd"/>
      <w:r>
        <w:t xml:space="preserve"> their vulnerability to the threat of terrorism. These active shooter guidelines aim to supplement and build upon some of those broad areas of focus, with particular emphasis on the following two principles:</w:t>
      </w:r>
    </w:p>
    <w:p w:rsidR="002446FC" w:rsidRDefault="002446FC" w:rsidP="0087349F">
      <w:pPr>
        <w:pStyle w:val="ListParagraph"/>
        <w:numPr>
          <w:ilvl w:val="0"/>
          <w:numId w:val="6"/>
        </w:numPr>
      </w:pPr>
      <w:r>
        <w:t xml:space="preserve">Prevention and preparedness arrangements should be underpinned by an intelligence-led, risk management approach. </w:t>
      </w:r>
    </w:p>
    <w:p w:rsidR="002446FC" w:rsidRDefault="002446FC" w:rsidP="0087349F">
      <w:pPr>
        <w:pStyle w:val="ListParagraph"/>
        <w:numPr>
          <w:ilvl w:val="0"/>
          <w:numId w:val="6"/>
        </w:numPr>
        <w:spacing w:after="240"/>
      </w:pPr>
      <w:r>
        <w:t>Effective security outcomes in complex mass gathering environments require cooperation and coordination between all stakeholders.</w:t>
      </w:r>
    </w:p>
    <w:p w:rsidR="002446FC" w:rsidRDefault="002446FC" w:rsidP="002446FC">
      <w:r>
        <w:t>Gaining a better understanding of the risk environment and options for preventing and dealing with active shooter incidents will enable private sector stakeholders to more effectively contribute to the collective national efforts to manage this threat to PMG. It is intended that this knowledge will lead to the development of ‘contingency plans’ or sub-plans that will supplement existing emergency response plans and arrangements at facilities and venues.</w:t>
      </w:r>
    </w:p>
    <w:p w:rsidR="002446FC" w:rsidRDefault="002446FC">
      <w:r>
        <w:br w:type="page"/>
      </w:r>
    </w:p>
    <w:p w:rsidR="002446FC" w:rsidRPr="002446FC" w:rsidRDefault="002446FC" w:rsidP="002446FC">
      <w:pPr>
        <w:pStyle w:val="Heading1"/>
      </w:pPr>
      <w:bookmarkStart w:id="6" w:name="_Toc435611041"/>
      <w:r>
        <w:lastRenderedPageBreak/>
        <w:t>Glossary of terms</w:t>
      </w:r>
      <w:bookmarkEnd w:id="6"/>
    </w:p>
    <w:p w:rsidR="002446FC" w:rsidRDefault="002446FC" w:rsidP="008579D0">
      <w:pPr>
        <w:shd w:val="clear" w:color="auto" w:fill="E1E5EB"/>
        <w:tabs>
          <w:tab w:val="left" w:pos="3969"/>
        </w:tabs>
        <w:spacing w:after="240"/>
      </w:pPr>
      <w:r w:rsidRPr="002446FC">
        <w:rPr>
          <w:b/>
        </w:rPr>
        <w:t>Active shooter:</w:t>
      </w:r>
      <w:r>
        <w:rPr>
          <w:b/>
        </w:rPr>
        <w:t xml:space="preserve"> </w:t>
      </w:r>
      <w:r w:rsidRPr="002446FC">
        <w:t>A person armed with a firearm who is actively engaged in killing or attempting to cause serious harm to multiple people in a populated location.</w:t>
      </w:r>
    </w:p>
    <w:p w:rsidR="002446FC" w:rsidRDefault="002446FC" w:rsidP="008579D0">
      <w:pPr>
        <w:shd w:val="clear" w:color="auto" w:fill="E1E5EB"/>
        <w:spacing w:after="240"/>
      </w:pPr>
      <w:r w:rsidRPr="002446FC">
        <w:rPr>
          <w:b/>
        </w:rPr>
        <w:t>Emergency Management:</w:t>
      </w:r>
      <w:r>
        <w:t xml:space="preserve"> </w:t>
      </w:r>
      <w:r w:rsidRPr="002446FC">
        <w:t>The plans, structures and arrangements that are established to bring together government, voluntary and private agencies in a coordinated wa</w:t>
      </w:r>
      <w:r w:rsidR="00FF0C3D">
        <w:t xml:space="preserve">y to deal with emergency needs, </w:t>
      </w:r>
      <w:r w:rsidR="00FF0C3D" w:rsidRPr="002446FC">
        <w:t xml:space="preserve">including </w:t>
      </w:r>
      <w:r w:rsidR="00FF0C3D">
        <w:t>prevention</w:t>
      </w:r>
      <w:r w:rsidRPr="002446FC">
        <w:t>, response and recovery.</w:t>
      </w:r>
    </w:p>
    <w:p w:rsidR="002446FC" w:rsidRDefault="002446FC" w:rsidP="008579D0">
      <w:pPr>
        <w:shd w:val="clear" w:color="auto" w:fill="E1E5EB"/>
        <w:spacing w:after="240"/>
      </w:pPr>
      <w:r w:rsidRPr="00FF0C3D">
        <w:rPr>
          <w:b/>
        </w:rPr>
        <w:t>Evacuation</w:t>
      </w:r>
      <w:r>
        <w:t xml:space="preserve">: </w:t>
      </w:r>
      <w:r w:rsidRPr="002446FC">
        <w:t>The process of relocating people from dangerous or potentially dangerous areas to safer areas. The purpose of an evacuation is to use distance to separate people from the danger created by the emergency.</w:t>
      </w:r>
    </w:p>
    <w:p w:rsidR="00FF0C3D" w:rsidRDefault="00FF0C3D" w:rsidP="008579D0">
      <w:pPr>
        <w:shd w:val="clear" w:color="auto" w:fill="E1E5EB"/>
        <w:spacing w:after="240"/>
      </w:pPr>
      <w:r w:rsidRPr="00FF0C3D">
        <w:rPr>
          <w:b/>
        </w:rPr>
        <w:t>Mitigation:</w:t>
      </w:r>
      <w:r>
        <w:t xml:space="preserve"> </w:t>
      </w:r>
      <w:r w:rsidRPr="00FF0C3D">
        <w:t>Measures taken before, during, or after a disaster (emergency) to d</w:t>
      </w:r>
      <w:r>
        <w:t xml:space="preserve">ecrease or eliminate its impact </w:t>
      </w:r>
      <w:r w:rsidRPr="00FF0C3D">
        <w:t xml:space="preserve">on society </w:t>
      </w:r>
      <w:r>
        <w:t>(</w:t>
      </w:r>
      <w:r w:rsidRPr="00FF0C3D">
        <w:t>people) and the environment (places).</w:t>
      </w:r>
    </w:p>
    <w:p w:rsidR="00FF0C3D" w:rsidRDefault="00FF0C3D" w:rsidP="008579D0">
      <w:pPr>
        <w:shd w:val="clear" w:color="auto" w:fill="E1E5EB"/>
        <w:spacing w:after="240"/>
      </w:pPr>
      <w:r w:rsidRPr="00FF0C3D">
        <w:rPr>
          <w:b/>
        </w:rPr>
        <w:t>Places of mass gathering (PMG):</w:t>
      </w:r>
      <w:r>
        <w:t xml:space="preserve"> </w:t>
      </w:r>
      <w:r w:rsidRPr="00FF0C3D">
        <w:t>Are characterised by having a large concentration of people on a predictable basis, and include a diverse range of facilities and</w:t>
      </w:r>
      <w:r>
        <w:t xml:space="preserve"> sites such as sporting venues, </w:t>
      </w:r>
      <w:r w:rsidRPr="00FF0C3D">
        <w:t>shopping/business precincts, public transport hubs and tourism/entertainment venues.</w:t>
      </w:r>
    </w:p>
    <w:p w:rsidR="00FF0C3D" w:rsidRDefault="00FF0C3D" w:rsidP="008579D0">
      <w:pPr>
        <w:shd w:val="clear" w:color="auto" w:fill="E1E5EB"/>
        <w:spacing w:after="240"/>
        <w:rPr>
          <w:rFonts w:cs="Arial"/>
          <w:color w:val="000000"/>
        </w:rPr>
      </w:pPr>
      <w:r w:rsidRPr="00FF0C3D">
        <w:rPr>
          <w:b/>
        </w:rPr>
        <w:t>Police first responder:</w:t>
      </w:r>
      <w:r>
        <w:t xml:space="preserve"> </w:t>
      </w:r>
      <w:r w:rsidRPr="00FF0C3D">
        <w:rPr>
          <w:rFonts w:cs="Arial"/>
          <w:color w:val="000000"/>
        </w:rPr>
        <w:t>The general-duties, uniformed police that often provide the</w:t>
      </w:r>
      <w:r>
        <w:rPr>
          <w:rFonts w:cs="Arial"/>
          <w:color w:val="000000"/>
        </w:rPr>
        <w:t xml:space="preserve"> </w:t>
      </w:r>
      <w:r w:rsidRPr="00FF0C3D">
        <w:rPr>
          <w:rFonts w:cs="Arial"/>
          <w:color w:val="000000"/>
        </w:rPr>
        <w:t>initial policing response to calls for police assistance.</w:t>
      </w:r>
    </w:p>
    <w:p w:rsidR="00FF0C3D" w:rsidRDefault="00FF0C3D" w:rsidP="008579D0">
      <w:pPr>
        <w:shd w:val="clear" w:color="auto" w:fill="E1E5EB"/>
        <w:spacing w:after="240"/>
      </w:pPr>
      <w:r w:rsidRPr="00FF0C3D">
        <w:rPr>
          <w:b/>
        </w:rPr>
        <w:t>Police Tactical Group (PTG):</w:t>
      </w:r>
      <w:r>
        <w:t xml:space="preserve"> </w:t>
      </w:r>
      <w:r w:rsidRPr="00FF0C3D">
        <w:t>A highly trained police unit that tactically manages and resolves high-risk incidents, including terrorist incidents.</w:t>
      </w:r>
    </w:p>
    <w:p w:rsidR="00FF0C3D" w:rsidRDefault="00FF0C3D" w:rsidP="008579D0">
      <w:pPr>
        <w:shd w:val="clear" w:color="auto" w:fill="E1E5EB"/>
        <w:spacing w:after="240"/>
      </w:pPr>
      <w:r w:rsidRPr="00FF0C3D">
        <w:rPr>
          <w:b/>
        </w:rPr>
        <w:t>Rapid deployment:</w:t>
      </w:r>
      <w:r>
        <w:t xml:space="preserve"> The swift and immediate deployment of emergency services personnel to an ongoing situation where delayed deployment could result in serious injury or death.</w:t>
      </w:r>
    </w:p>
    <w:p w:rsidR="00FF0C3D" w:rsidRDefault="00FF0C3D" w:rsidP="008579D0">
      <w:pPr>
        <w:shd w:val="clear" w:color="auto" w:fill="E1E5EB"/>
        <w:spacing w:after="240"/>
      </w:pPr>
      <w:r w:rsidRPr="00FF0C3D">
        <w:rPr>
          <w:b/>
        </w:rPr>
        <w:t>Situational awareness:</w:t>
      </w:r>
      <w:r>
        <w:t xml:space="preserve"> The ability to quickly recognise and interpret an event, make sound decisions based on those interpretations, and establish early, effective and continuous lines of communication between the incident site and the controlling agency in order to provide ongoing accurate information about the situation to responders.</w:t>
      </w:r>
    </w:p>
    <w:p w:rsidR="00FF0C3D" w:rsidRDefault="00FF0C3D" w:rsidP="008579D0">
      <w:pPr>
        <w:shd w:val="clear" w:color="auto" w:fill="E1E5EB"/>
        <w:spacing w:after="240"/>
      </w:pPr>
      <w:r w:rsidRPr="00FF0C3D">
        <w:rPr>
          <w:b/>
        </w:rPr>
        <w:t>Terrorist act:</w:t>
      </w:r>
      <w:r>
        <w:t xml:space="preserve"> An act or threat committed with the intention of advancing a political, ideological or religious cause, and which is intended to coerce or intimidate an Australian government, a foreign government, or sections of the public, which causes serious physical harm or death to a person, endangers a person’s life, causes serious damage to property, creates a serious risk to the health and safety of the public, or seriously interferes with, seriously disrupts, or destroys, an electronic system.</w:t>
      </w:r>
    </w:p>
    <w:p w:rsidR="00FF0C3D" w:rsidRDefault="00FF0C3D">
      <w:r>
        <w:br w:type="page"/>
      </w:r>
    </w:p>
    <w:p w:rsidR="00FF0C3D" w:rsidRDefault="00FF0C3D" w:rsidP="00FF0C3D">
      <w:pPr>
        <w:pStyle w:val="Heading1"/>
        <w:rPr>
          <w:color w:val="000000"/>
          <w14:textFill>
            <w14:solidFill>
              <w14:srgbClr w14:val="000000">
                <w14:lumMod w14:val="75000"/>
              </w14:srgbClr>
            </w14:solidFill>
          </w14:textFill>
        </w:rPr>
      </w:pPr>
      <w:bookmarkStart w:id="7" w:name="_Toc435611042"/>
      <w:r>
        <w:lastRenderedPageBreak/>
        <w:t>Threat context</w:t>
      </w:r>
      <w:bookmarkEnd w:id="7"/>
    </w:p>
    <w:p w:rsidR="00FF0C3D" w:rsidRDefault="00FF0C3D" w:rsidP="00FF0C3D">
      <w:pPr>
        <w:pStyle w:val="Default"/>
        <w:spacing w:after="240"/>
      </w:pPr>
      <w:r w:rsidRPr="00FF0C3D">
        <w:t xml:space="preserve">International experience indicates that firearm attacks continue to be one of the more common attack strategies </w:t>
      </w:r>
      <w:proofErr w:type="gramStart"/>
      <w:r w:rsidRPr="00FF0C3D">
        <w:t>adopted</w:t>
      </w:r>
      <w:proofErr w:type="gramEnd"/>
      <w:r w:rsidRPr="00FF0C3D">
        <w:t xml:space="preserve"> by violent extremists, due in part to their relative ease of access</w:t>
      </w:r>
      <w:r>
        <w:t xml:space="preserve"> to weapons. </w:t>
      </w:r>
      <w:r w:rsidRPr="00FF0C3D">
        <w:t>Within the Australian context, while access to firearms is well regulated in comparison, their use is still considered to be</w:t>
      </w:r>
      <w:r>
        <w:t xml:space="preserve"> </w:t>
      </w:r>
      <w:r w:rsidRPr="00FF0C3D">
        <w:t>one of the most likely methods of attack.</w:t>
      </w:r>
      <w:r>
        <w:t xml:space="preserve"> </w:t>
      </w:r>
    </w:p>
    <w:p w:rsidR="002446FC" w:rsidRPr="00FF0C3D" w:rsidRDefault="00FF0C3D" w:rsidP="00FF0C3D">
      <w:pPr>
        <w:spacing w:after="240"/>
      </w:pPr>
      <w:r w:rsidRPr="00FF0C3D">
        <w:t xml:space="preserve">Historically, Australia and New Zealand have not been immune from active shooter events. Several significant incidents have occurred at places such as shopping centres, universities and public spaces while many potential attacks have been stopped. In August 2009, </w:t>
      </w:r>
      <w:proofErr w:type="gramStart"/>
      <w:r w:rsidRPr="00FF0C3D">
        <w:t xml:space="preserve">four </w:t>
      </w:r>
      <w:r>
        <w:t xml:space="preserve"> </w:t>
      </w:r>
      <w:r w:rsidRPr="00FF0C3D">
        <w:t>men</w:t>
      </w:r>
      <w:proofErr w:type="gramEnd"/>
      <w:r w:rsidRPr="00FF0C3D">
        <w:t xml:space="preserve"> were arrested in relation to a terrorist plot targeting the Holsworthy Army Barracks in NSW where they planned to infiltrate the barracks and shoot as many people as possible. The Port Arthur, Hoddle Street, Strathfield, and Queen Street inci</w:t>
      </w:r>
      <w:r>
        <w:t xml:space="preserve">dents in particular demonstrate </w:t>
      </w:r>
      <w:r w:rsidRPr="00FF0C3D">
        <w:t xml:space="preserve">that active shooter mass casualty attacks in Australia remain a real, persistent and </w:t>
      </w:r>
      <w:r>
        <w:t>substantial</w:t>
      </w:r>
      <w:r w:rsidRPr="00FF0C3D">
        <w:t xml:space="preserve"> threat to the community.</w:t>
      </w:r>
    </w:p>
    <w:p w:rsidR="002446FC" w:rsidRDefault="00FF0C3D" w:rsidP="00FF0C3D">
      <w:r w:rsidRPr="00FF0C3D">
        <w:t>The threat of self-directed lone actor attacks using basic weapons and firearms presents one of the most significant challenges for security and law enforcement agencies. Terrorist</w:t>
      </w:r>
      <w:r>
        <w:t xml:space="preserve"> </w:t>
      </w:r>
      <w:r w:rsidRPr="00FF0C3D">
        <w:t>attacks in Canada, the United States, France, Denmark and Australia in late 2014 continue a recent trend towards this type of attack in the West. Terrorist propaganda continues to promote the efficacy of ‘stand-alone’ attacks,</w:t>
      </w:r>
      <w:r>
        <w:t xml:space="preserve"> encouraging </w:t>
      </w:r>
      <w:r w:rsidRPr="00FF0C3D">
        <w:t>individuals in western countries to</w:t>
      </w:r>
      <w:r>
        <w:t xml:space="preserve"> </w:t>
      </w:r>
      <w:r w:rsidRPr="00FF0C3D">
        <w:t>conduct attacks at home rather than travelling to overseas conflict zones.</w:t>
      </w:r>
    </w:p>
    <w:p w:rsidR="002446FC" w:rsidRDefault="00FF0C3D" w:rsidP="00FF0C3D">
      <w:pPr>
        <w:spacing w:before="240"/>
      </w:pPr>
      <w:r w:rsidRPr="00FF0C3D">
        <w:t>Violent Islamist extremists are not the only potential source of threat for a lone actor active shooter attack. Any extremist ideology can give rise to a lone actor, while some individuals may not be motivated by any ideology at</w:t>
      </w:r>
      <w:r>
        <w:t xml:space="preserve"> </w:t>
      </w:r>
      <w:r w:rsidRPr="00FF0C3D">
        <w:t>all. The deadliest mass casualty shooting to occur in Australia—the Port Arthur massacre in 1996—was perpetrated by an individual with no links to an extremist ideology. The</w:t>
      </w:r>
      <w:r>
        <w:t xml:space="preserve"> </w:t>
      </w:r>
      <w:r w:rsidRPr="00FF0C3D">
        <w:t xml:space="preserve">Anders </w:t>
      </w:r>
      <w:proofErr w:type="spellStart"/>
      <w:r w:rsidRPr="00FF0C3D">
        <w:t>Breivik</w:t>
      </w:r>
      <w:proofErr w:type="spellEnd"/>
      <w:r w:rsidRPr="00FF0C3D">
        <w:t xml:space="preserve"> terrorist attack in Norway in</w:t>
      </w:r>
      <w:r>
        <w:t xml:space="preserve"> July 2011 demonstrates that attacks can occur without forewarning and security services cannot guarantee visibility of all terrorist attack planning. It is also a reminder that that attacks may also be inspired by a non-Islamist ideology and driven by local issues.</w:t>
      </w:r>
    </w:p>
    <w:p w:rsidR="00FF0C3D" w:rsidRDefault="00FF0C3D" w:rsidP="00FF0C3D">
      <w:pPr>
        <w:spacing w:before="240"/>
      </w:pPr>
      <w:r>
        <w:t>These guidelines aim to provide advice relative to the active shooter threat. Guidance material on the threat posed by IEDs is contained in a separate set of ANZCTC guidelines.</w:t>
      </w:r>
    </w:p>
    <w:p w:rsidR="002446FC" w:rsidRDefault="002446FC" w:rsidP="002446FC">
      <w:pPr>
        <w:pStyle w:val="Default"/>
        <w:tabs>
          <w:tab w:val="left" w:pos="3402"/>
        </w:tabs>
        <w:rPr>
          <w:rFonts w:ascii="Arial" w:hAnsi="Arial" w:cs="Arial"/>
          <w:color w:val="000000"/>
        </w:rPr>
      </w:pPr>
    </w:p>
    <w:p w:rsidR="002446FC" w:rsidRPr="006816C1" w:rsidRDefault="00A0333F" w:rsidP="002446FC">
      <w:pPr>
        <w:pStyle w:val="Default"/>
        <w:tabs>
          <w:tab w:val="left" w:pos="3402"/>
        </w:tabs>
        <w:rPr>
          <w:rFonts w:ascii="Arial" w:hAnsi="Arial" w:cs="Arial"/>
          <w:b/>
          <w:i/>
          <w:color w:val="000000"/>
        </w:rPr>
      </w:pPr>
      <w:r>
        <w:rPr>
          <w:rFonts w:ascii="Arial" w:hAnsi="Arial" w:cs="Arial"/>
          <w:color w:val="000000"/>
        </w:rPr>
        <w:t xml:space="preserve">The current security context assessment is contained at </w:t>
      </w:r>
      <w:r w:rsidRPr="006816C1">
        <w:rPr>
          <w:rFonts w:ascii="Arial" w:hAnsi="Arial" w:cs="Arial"/>
          <w:b/>
          <w:i/>
          <w:color w:val="000000"/>
        </w:rPr>
        <w:t>Appendix A</w:t>
      </w:r>
    </w:p>
    <w:p w:rsidR="00A0333F" w:rsidRDefault="00A0333F" w:rsidP="00A0333F">
      <w:pPr>
        <w:pStyle w:val="Heading1"/>
        <w:spacing w:before="240"/>
      </w:pPr>
      <w:bookmarkStart w:id="8" w:name="_Toc435611043"/>
      <w:r>
        <w:t>Characteristics of active shooter incidents</w:t>
      </w:r>
      <w:bookmarkEnd w:id="8"/>
    </w:p>
    <w:p w:rsidR="00A0333F" w:rsidRDefault="00A0333F" w:rsidP="00A0333F">
      <w:r>
        <w:t>The typical active shooter will attempt to kill and injure as many people as possible within a short period of time. This is why they generally target places where they can achieve the greatest impact—i.e. crowded places. The rapid development of active shooter incidents often means the police first responders will be uniformed, general-duties police.</w:t>
      </w:r>
    </w:p>
    <w:p w:rsidR="00A0333F" w:rsidRPr="00A0333F" w:rsidRDefault="00A0333F" w:rsidP="00A0333F">
      <w:pPr>
        <w:spacing w:before="240"/>
      </w:pPr>
      <w:r>
        <w:t>An active shooter incident does not generally include a hostage situation, but can potentially transition into one, particularly during the police resolution phase.</w:t>
      </w:r>
    </w:p>
    <w:p w:rsidR="002446FC" w:rsidRDefault="002446FC" w:rsidP="002446FC">
      <w:pPr>
        <w:pStyle w:val="Default"/>
        <w:tabs>
          <w:tab w:val="left" w:pos="3402"/>
        </w:tabs>
        <w:rPr>
          <w:rFonts w:ascii="Arial" w:hAnsi="Arial" w:cs="Arial"/>
          <w:color w:val="000000"/>
        </w:rPr>
      </w:pPr>
    </w:p>
    <w:p w:rsidR="00A0333F" w:rsidRDefault="00A0333F" w:rsidP="00A0333F">
      <w:pPr>
        <w:pStyle w:val="Heading2"/>
      </w:pPr>
      <w:bookmarkStart w:id="9" w:name="_Toc435611044"/>
      <w:r>
        <w:t>General features</w:t>
      </w:r>
      <w:bookmarkEnd w:id="9"/>
    </w:p>
    <w:p w:rsidR="00A0333F" w:rsidRPr="00A0333F" w:rsidRDefault="00A0333F" w:rsidP="00A0333F">
      <w:pPr>
        <w:autoSpaceDE w:val="0"/>
        <w:autoSpaceDN w:val="0"/>
        <w:adjustRightInd w:val="0"/>
        <w:rPr>
          <w:rFonts w:cs="Arial"/>
          <w:color w:val="000000"/>
        </w:rPr>
      </w:pPr>
      <w:r w:rsidRPr="00A0333F">
        <w:rPr>
          <w:rFonts w:cs="Arial"/>
          <w:color w:val="000000"/>
        </w:rPr>
        <w:t xml:space="preserve">Current research has not identified any consistent trends in active shooter incidents, particularly in the Australian-New Zealand context. In fact, most incidents can vary greatly from one attack to another. However, there </w:t>
      </w:r>
      <w:r>
        <w:rPr>
          <w:rFonts w:cs="Arial"/>
          <w:color w:val="000000"/>
        </w:rPr>
        <w:t>are</w:t>
      </w:r>
      <w:r w:rsidRPr="00A0333F">
        <w:rPr>
          <w:rFonts w:cs="Arial"/>
          <w:color w:val="000000"/>
        </w:rPr>
        <w:t xml:space="preserve"> some comm</w:t>
      </w:r>
      <w:r>
        <w:rPr>
          <w:rFonts w:cs="Arial"/>
          <w:color w:val="000000"/>
        </w:rPr>
        <w:t xml:space="preserve">on elements for the majority of </w:t>
      </w:r>
      <w:r w:rsidRPr="00A0333F">
        <w:rPr>
          <w:rFonts w:cs="Arial"/>
          <w:color w:val="000000"/>
        </w:rPr>
        <w:t>active shooter incidents; namely:</w:t>
      </w:r>
    </w:p>
    <w:p w:rsidR="00A0333F" w:rsidRPr="00A0333F" w:rsidRDefault="00A0333F" w:rsidP="0087349F">
      <w:pPr>
        <w:pStyle w:val="ListParagraph"/>
        <w:numPr>
          <w:ilvl w:val="0"/>
          <w:numId w:val="7"/>
        </w:numPr>
        <w:autoSpaceDE w:val="0"/>
        <w:autoSpaceDN w:val="0"/>
        <w:adjustRightInd w:val="0"/>
        <w:spacing w:before="240" w:after="240" w:line="276" w:lineRule="auto"/>
        <w:rPr>
          <w:rFonts w:cs="Arial"/>
          <w:color w:val="000000"/>
        </w:rPr>
      </w:pPr>
      <w:r w:rsidRPr="00A0333F">
        <w:rPr>
          <w:rFonts w:cs="Arial"/>
          <w:color w:val="000000"/>
        </w:rPr>
        <w:t xml:space="preserve">Incidents often occur in crowded places where the offender can access a large number of potential victims. </w:t>
      </w:r>
    </w:p>
    <w:p w:rsidR="00A0333F" w:rsidRPr="00A0333F" w:rsidRDefault="00A0333F" w:rsidP="0087349F">
      <w:pPr>
        <w:pStyle w:val="ListParagraph"/>
        <w:numPr>
          <w:ilvl w:val="0"/>
          <w:numId w:val="7"/>
        </w:numPr>
        <w:autoSpaceDE w:val="0"/>
        <w:autoSpaceDN w:val="0"/>
        <w:adjustRightInd w:val="0"/>
        <w:spacing w:after="240" w:line="276" w:lineRule="auto"/>
        <w:rPr>
          <w:rFonts w:cs="Arial"/>
          <w:color w:val="000000"/>
        </w:rPr>
      </w:pPr>
      <w:r w:rsidRPr="00A0333F">
        <w:rPr>
          <w:rFonts w:cs="Arial"/>
          <w:color w:val="000000"/>
        </w:rPr>
        <w:t>Most incidents will evolve rapidly and are often over within 10-15 minutes.</w:t>
      </w:r>
    </w:p>
    <w:p w:rsidR="00A0333F" w:rsidRPr="00A0333F" w:rsidRDefault="00A0333F" w:rsidP="0087349F">
      <w:pPr>
        <w:pStyle w:val="ListParagraph"/>
        <w:numPr>
          <w:ilvl w:val="0"/>
          <w:numId w:val="7"/>
        </w:numPr>
        <w:autoSpaceDE w:val="0"/>
        <w:autoSpaceDN w:val="0"/>
        <w:adjustRightInd w:val="0"/>
        <w:spacing w:after="240" w:line="276" w:lineRule="auto"/>
        <w:rPr>
          <w:rFonts w:cs="Arial"/>
          <w:color w:val="000000"/>
        </w:rPr>
      </w:pPr>
      <w:r w:rsidRPr="00A0333F">
        <w:rPr>
          <w:rFonts w:cs="Arial"/>
          <w:color w:val="000000"/>
        </w:rPr>
        <w:t xml:space="preserve">Many active shooters will continue to attempt to harm victims until confronted by law enforcement personnel or some other type of </w:t>
      </w:r>
      <w:r w:rsidRPr="00A0333F">
        <w:rPr>
          <w:rFonts w:eastAsia="Times New Roman" w:cs="Arial"/>
          <w:color w:val="000000"/>
          <w:szCs w:val="20"/>
          <w:lang w:eastAsia="en-AU"/>
        </w:rPr>
        <w:t>intervention occurs.</w:t>
      </w:r>
    </w:p>
    <w:p w:rsidR="00A0333F" w:rsidRDefault="00A0333F" w:rsidP="0087349F">
      <w:pPr>
        <w:pStyle w:val="ListParagraph"/>
        <w:numPr>
          <w:ilvl w:val="0"/>
          <w:numId w:val="7"/>
        </w:numPr>
        <w:autoSpaceDE w:val="0"/>
        <w:autoSpaceDN w:val="0"/>
        <w:adjustRightInd w:val="0"/>
        <w:spacing w:after="240" w:line="276" w:lineRule="auto"/>
        <w:rPr>
          <w:rFonts w:cs="Arial"/>
          <w:color w:val="000000"/>
        </w:rPr>
      </w:pPr>
      <w:r w:rsidRPr="00A0333F">
        <w:rPr>
          <w:rFonts w:cs="Arial"/>
          <w:color w:val="000000"/>
        </w:rPr>
        <w:t>Most incidents will not be effectively resolved through negotiation or peaceful means.</w:t>
      </w:r>
    </w:p>
    <w:p w:rsidR="00A0333F" w:rsidRDefault="00A0333F">
      <w:pPr>
        <w:rPr>
          <w:rFonts w:eastAsia="Calibri" w:cs="Arial"/>
          <w:color w:val="000000"/>
          <w:szCs w:val="22"/>
          <w:lang w:eastAsia="en-US"/>
        </w:rPr>
      </w:pPr>
      <w:r>
        <w:rPr>
          <w:rFonts w:cs="Arial"/>
          <w:color w:val="000000"/>
        </w:rPr>
        <w:br w:type="page"/>
      </w:r>
    </w:p>
    <w:p w:rsidR="00A0333F" w:rsidRPr="00A0333F" w:rsidRDefault="00A0333F" w:rsidP="00A0333F">
      <w:pPr>
        <w:pStyle w:val="Heading2"/>
      </w:pPr>
      <w:bookmarkStart w:id="10" w:name="_Toc435611045"/>
      <w:r>
        <w:lastRenderedPageBreak/>
        <w:t>Weapons</w:t>
      </w:r>
      <w:bookmarkEnd w:id="10"/>
    </w:p>
    <w:p w:rsidR="00A0333F" w:rsidRPr="00A0333F" w:rsidRDefault="00A0333F" w:rsidP="00A0333F">
      <w:pPr>
        <w:autoSpaceDE w:val="0"/>
        <w:autoSpaceDN w:val="0"/>
        <w:adjustRightInd w:val="0"/>
        <w:spacing w:after="240"/>
        <w:rPr>
          <w:rFonts w:cs="Arial"/>
          <w:color w:val="000000"/>
        </w:rPr>
      </w:pPr>
      <w:r w:rsidRPr="00A0333F">
        <w:rPr>
          <w:rFonts w:cs="Arial"/>
          <w:color w:val="000000"/>
        </w:rPr>
        <w:t xml:space="preserve">Historically, Australian active shooter incidents have involved the use of long arm weapons (rifles and shotguns) although the use of handguns has become more prominent over the past ten years. Firearm ownership restrictions introduced by the government following the Port Arthur massacre significantly reduced the number of semi-automatic weapons in the community. Each year, however, many firearms are stolen from licensed firearm owners and could potentially fall into the wrong hands. </w:t>
      </w:r>
    </w:p>
    <w:p w:rsidR="00A0333F" w:rsidRPr="00A0333F" w:rsidRDefault="00A0333F" w:rsidP="00A0333F">
      <w:pPr>
        <w:autoSpaceDE w:val="0"/>
        <w:autoSpaceDN w:val="0"/>
        <w:adjustRightInd w:val="0"/>
        <w:spacing w:after="240"/>
        <w:rPr>
          <w:rFonts w:cs="Arial"/>
          <w:color w:val="000000"/>
        </w:rPr>
      </w:pPr>
      <w:r w:rsidRPr="00A0333F">
        <w:rPr>
          <w:rFonts w:cs="Arial"/>
          <w:color w:val="000000"/>
        </w:rPr>
        <w:t>Potential a</w:t>
      </w:r>
      <w:r>
        <w:rPr>
          <w:rFonts w:cs="Arial"/>
          <w:color w:val="000000"/>
        </w:rPr>
        <w:t xml:space="preserve">ctive shooters may therefore be </w:t>
      </w:r>
      <w:r w:rsidRPr="00A0333F">
        <w:rPr>
          <w:rFonts w:cs="Arial"/>
          <w:color w:val="000000"/>
        </w:rPr>
        <w:t>able to access a wide variety of firearms, either legitimately or through criminal activities or connections. The terrorist attack ag</w:t>
      </w:r>
      <w:r>
        <w:rPr>
          <w:rFonts w:cs="Arial"/>
          <w:color w:val="000000"/>
        </w:rPr>
        <w:t xml:space="preserve">ainst staff at the Charlie </w:t>
      </w:r>
      <w:proofErr w:type="spellStart"/>
      <w:r w:rsidRPr="00A0333F">
        <w:rPr>
          <w:rFonts w:cs="Arial"/>
          <w:color w:val="000000"/>
        </w:rPr>
        <w:t>Hebdo</w:t>
      </w:r>
      <w:proofErr w:type="spellEnd"/>
      <w:r w:rsidRPr="00A0333F">
        <w:rPr>
          <w:rFonts w:cs="Arial"/>
          <w:color w:val="000000"/>
        </w:rPr>
        <w:t xml:space="preserve"> office in Paris, and the disrupted 2015 attack in Belgium emphasise that the threat of well-planned and coordinated attacks using high powered weapons still endures in the West.</w:t>
      </w:r>
    </w:p>
    <w:p w:rsidR="00A0333F" w:rsidRDefault="00A0333F" w:rsidP="00A0333F">
      <w:pPr>
        <w:pStyle w:val="Heading1"/>
      </w:pPr>
      <w:bookmarkStart w:id="11" w:name="_Toc435611046"/>
      <w:r>
        <w:t>Primary objectives</w:t>
      </w:r>
      <w:bookmarkEnd w:id="11"/>
    </w:p>
    <w:p w:rsidR="00A0333F" w:rsidRPr="00A0333F" w:rsidRDefault="00A0333F" w:rsidP="00A0333F">
      <w:r>
        <w:t>In most incidents, active shooters need freedom of movement and ready access to victims in order to achieve their objective. Therefore, minimising the offender’s access to potential victims should be the primary objective of any plans or strategies. This is most likely to be achieved through the following activities:</w:t>
      </w:r>
    </w:p>
    <w:p w:rsidR="00A0333F" w:rsidRDefault="00A0333F" w:rsidP="0087349F">
      <w:pPr>
        <w:pStyle w:val="ListParagraph"/>
        <w:numPr>
          <w:ilvl w:val="0"/>
          <w:numId w:val="8"/>
        </w:numPr>
        <w:spacing w:before="240" w:line="276" w:lineRule="auto"/>
      </w:pPr>
      <w:r>
        <w:t>initiating immediate response activities</w:t>
      </w:r>
    </w:p>
    <w:p w:rsidR="00A0333F" w:rsidRDefault="00A0333F" w:rsidP="0087349F">
      <w:pPr>
        <w:pStyle w:val="ListParagraph"/>
        <w:numPr>
          <w:ilvl w:val="0"/>
          <w:numId w:val="8"/>
        </w:numPr>
        <w:spacing w:before="240" w:line="276" w:lineRule="auto"/>
      </w:pPr>
      <w:r>
        <w:t>minimising the duration of the incident</w:t>
      </w:r>
    </w:p>
    <w:p w:rsidR="00A0333F" w:rsidRDefault="00A0333F" w:rsidP="0087349F">
      <w:pPr>
        <w:pStyle w:val="ListParagraph"/>
        <w:numPr>
          <w:ilvl w:val="0"/>
          <w:numId w:val="8"/>
        </w:numPr>
        <w:spacing w:before="240" w:line="276" w:lineRule="auto"/>
      </w:pPr>
      <w:r>
        <w:t>restricting the offender’s movements</w:t>
      </w:r>
    </w:p>
    <w:p w:rsidR="00A0333F" w:rsidRDefault="00A0333F" w:rsidP="0087349F">
      <w:pPr>
        <w:pStyle w:val="ListParagraph"/>
        <w:numPr>
          <w:ilvl w:val="0"/>
          <w:numId w:val="8"/>
        </w:numPr>
        <w:spacing w:before="240" w:line="276" w:lineRule="auto"/>
      </w:pPr>
      <w:r>
        <w:t>moving people from danger</w:t>
      </w:r>
    </w:p>
    <w:p w:rsidR="00A0333F" w:rsidRDefault="00A0333F" w:rsidP="0087349F">
      <w:pPr>
        <w:pStyle w:val="ListParagraph"/>
        <w:numPr>
          <w:ilvl w:val="0"/>
          <w:numId w:val="8"/>
        </w:numPr>
        <w:spacing w:before="240" w:line="276" w:lineRule="auto"/>
      </w:pPr>
      <w:r>
        <w:t>preventing people from entering the scene</w:t>
      </w:r>
    </w:p>
    <w:p w:rsidR="00A0333F" w:rsidRDefault="00A0333F" w:rsidP="0087349F">
      <w:pPr>
        <w:pStyle w:val="ListParagraph"/>
        <w:numPr>
          <w:ilvl w:val="0"/>
          <w:numId w:val="8"/>
        </w:numPr>
        <w:autoSpaceDE w:val="0"/>
        <w:autoSpaceDN w:val="0"/>
        <w:adjustRightInd w:val="0"/>
        <w:spacing w:line="276" w:lineRule="auto"/>
        <w:rPr>
          <w:rFonts w:cs="Arial"/>
          <w:color w:val="000000"/>
        </w:rPr>
      </w:pPr>
      <w:proofErr w:type="gramStart"/>
      <w:r w:rsidRPr="00A0333F">
        <w:rPr>
          <w:rFonts w:cs="Arial"/>
          <w:color w:val="000000"/>
        </w:rPr>
        <w:t>helping</w:t>
      </w:r>
      <w:proofErr w:type="gramEnd"/>
      <w:r w:rsidRPr="00A0333F">
        <w:rPr>
          <w:rFonts w:cs="Arial"/>
          <w:color w:val="000000"/>
        </w:rPr>
        <w:t xml:space="preserve"> police to locate and contain the shooter.</w:t>
      </w:r>
    </w:p>
    <w:p w:rsidR="00E816BF" w:rsidRDefault="00E816BF" w:rsidP="00E816BF">
      <w:pPr>
        <w:autoSpaceDE w:val="0"/>
        <w:autoSpaceDN w:val="0"/>
        <w:adjustRightInd w:val="0"/>
        <w:spacing w:line="276" w:lineRule="auto"/>
        <w:rPr>
          <w:rFonts w:cs="Arial"/>
          <w:color w:val="000000"/>
        </w:rPr>
      </w:pPr>
    </w:p>
    <w:p w:rsidR="00A0333F" w:rsidRDefault="00E816BF" w:rsidP="00E816BF">
      <w:pPr>
        <w:autoSpaceDE w:val="0"/>
        <w:autoSpaceDN w:val="0"/>
        <w:adjustRightInd w:val="0"/>
        <w:rPr>
          <w:rFonts w:cs="Arial"/>
          <w:i/>
          <w:iCs/>
          <w:color w:val="000000"/>
        </w:rPr>
      </w:pPr>
      <w:r w:rsidRPr="00E816BF">
        <w:rPr>
          <w:rFonts w:cs="Arial"/>
          <w:i/>
          <w:iCs/>
          <w:color w:val="000000"/>
        </w:rPr>
        <w:t>TIME + FREEDOM OF MOVEMENT = INCREASED CASUALTIES</w:t>
      </w:r>
    </w:p>
    <w:p w:rsidR="00E816BF" w:rsidRPr="00E816BF" w:rsidRDefault="00E816BF" w:rsidP="00E816BF">
      <w:pPr>
        <w:spacing w:before="240"/>
      </w:pPr>
      <w:r w:rsidRPr="00E816BF">
        <w:t>Australia’s strategic approach to counter- terrorism recognises the need to prevent, prepare for, respond to and recover (PPRR) from terrorist acts. The PPRR concept does not represent a consecutive set of activities and many elements of PPRR will often occur concurrently. Owners and operators of PMG and event organisers are strongly encouraged to ensure their own prevention, preparedness, respons</w:t>
      </w:r>
      <w:r>
        <w:t xml:space="preserve">e and recovery arrangements and </w:t>
      </w:r>
      <w:r w:rsidRPr="00E816BF">
        <w:t>activities align with those of emergency service agencies. The following sections provide guidance and considerations on how to achieve this, particularly in relation to active shooter situations.</w:t>
      </w:r>
    </w:p>
    <w:p w:rsidR="00A0333F" w:rsidRDefault="00E816BF" w:rsidP="00E816BF">
      <w:pPr>
        <w:pStyle w:val="Heading1"/>
        <w:spacing w:before="240"/>
      </w:pPr>
      <w:bookmarkStart w:id="12" w:name="_Toc435611047"/>
      <w:r>
        <w:t>Prevention</w:t>
      </w:r>
      <w:bookmarkEnd w:id="12"/>
    </w:p>
    <w:p w:rsidR="00A0333F" w:rsidRPr="00E816BF" w:rsidRDefault="00E816BF" w:rsidP="00E816BF">
      <w:pPr>
        <w:autoSpaceDE w:val="0"/>
        <w:autoSpaceDN w:val="0"/>
        <w:adjustRightInd w:val="0"/>
        <w:rPr>
          <w:rFonts w:cs="Arial"/>
          <w:color w:val="000000"/>
        </w:rPr>
      </w:pPr>
      <w:r w:rsidRPr="00E816BF">
        <w:rPr>
          <w:rFonts w:cs="Arial"/>
          <w:color w:val="000000"/>
        </w:rPr>
        <w:t>Not all risks or emergencies can be prevented, so the concept of prevention needs to have a much broader meaning, and should encompass activities that may reduce the severity or impact of the emergency event. General prevention- related activities can include gathering and analysing intelligence, developing strategies to reduce the impact on life/property and identifying or eliminating vulnerabilities at potential target sites. For most types of hostile attacks, prevention activities should aim to:</w:t>
      </w:r>
    </w:p>
    <w:p w:rsidR="00E816BF" w:rsidRDefault="00E816BF" w:rsidP="00E816BF">
      <w:pPr>
        <w:autoSpaceDE w:val="0"/>
        <w:autoSpaceDN w:val="0"/>
        <w:adjustRightInd w:val="0"/>
        <w:rPr>
          <w:rFonts w:cs="Arial"/>
          <w:color w:val="000000"/>
        </w:rPr>
      </w:pPr>
    </w:p>
    <w:p w:rsidR="00A0333F" w:rsidRPr="00E816BF" w:rsidRDefault="00E816BF" w:rsidP="0087349F">
      <w:pPr>
        <w:pStyle w:val="ListParagraph"/>
        <w:numPr>
          <w:ilvl w:val="0"/>
          <w:numId w:val="9"/>
        </w:numPr>
        <w:autoSpaceDE w:val="0"/>
        <w:autoSpaceDN w:val="0"/>
        <w:adjustRightInd w:val="0"/>
        <w:spacing w:line="276" w:lineRule="auto"/>
        <w:rPr>
          <w:rFonts w:cs="Arial"/>
          <w:color w:val="000000"/>
        </w:rPr>
      </w:pPr>
      <w:r w:rsidRPr="00E816BF">
        <w:rPr>
          <w:rFonts w:cs="Arial"/>
          <w:color w:val="000000"/>
        </w:rPr>
        <w:t>Deter a would-be attacker – by providing obvious physical and electronic security measures, coupled with good risk management practices</w:t>
      </w:r>
    </w:p>
    <w:p w:rsidR="00E816BF" w:rsidRPr="00E816BF" w:rsidRDefault="00E816BF" w:rsidP="0087349F">
      <w:pPr>
        <w:pStyle w:val="ListParagraph"/>
        <w:numPr>
          <w:ilvl w:val="0"/>
          <w:numId w:val="9"/>
        </w:numPr>
        <w:autoSpaceDE w:val="0"/>
        <w:autoSpaceDN w:val="0"/>
        <w:adjustRightInd w:val="0"/>
        <w:spacing w:line="276" w:lineRule="auto"/>
        <w:rPr>
          <w:rFonts w:cs="Arial"/>
          <w:color w:val="000000"/>
        </w:rPr>
      </w:pPr>
      <w:r w:rsidRPr="00E816BF">
        <w:rPr>
          <w:rFonts w:cs="Arial"/>
          <w:color w:val="000000"/>
        </w:rPr>
        <w:t>Detect an intrusion – by providing alert and visual detection systems</w:t>
      </w:r>
    </w:p>
    <w:p w:rsidR="00E816BF" w:rsidRDefault="00E816BF" w:rsidP="0087349F">
      <w:pPr>
        <w:pStyle w:val="ListParagraph"/>
        <w:numPr>
          <w:ilvl w:val="0"/>
          <w:numId w:val="9"/>
        </w:numPr>
        <w:autoSpaceDE w:val="0"/>
        <w:autoSpaceDN w:val="0"/>
        <w:adjustRightInd w:val="0"/>
        <w:spacing w:line="276" w:lineRule="auto"/>
        <w:rPr>
          <w:rFonts w:cs="Arial"/>
          <w:color w:val="000000"/>
        </w:rPr>
      </w:pPr>
      <w:r w:rsidRPr="00E816BF">
        <w:rPr>
          <w:rFonts w:cs="Arial"/>
          <w:color w:val="000000"/>
        </w:rPr>
        <w:t>Delay or limit the intrusion for a sufficient period to allow a response force to attend – by putting in place measures that will potentially limit the movement of the offender.</w:t>
      </w:r>
    </w:p>
    <w:p w:rsidR="00E816BF" w:rsidRDefault="00E816BF" w:rsidP="00E816BF">
      <w:pPr>
        <w:autoSpaceDE w:val="0"/>
        <w:autoSpaceDN w:val="0"/>
        <w:adjustRightInd w:val="0"/>
        <w:spacing w:before="240"/>
        <w:rPr>
          <w:rFonts w:cs="Arial"/>
          <w:color w:val="000000"/>
        </w:rPr>
      </w:pPr>
      <w:r w:rsidRPr="00E816BF">
        <w:rPr>
          <w:rFonts w:cs="Arial"/>
          <w:color w:val="000000"/>
        </w:rPr>
        <w:t>For active shooter attacks prevention-related activities specifically aimed at mitigating or reducing the severity of the incident should also be considered. The main focus of those activities should be on restricting the movement of the offender/s while reducing their access</w:t>
      </w:r>
      <w:r>
        <w:rPr>
          <w:rFonts w:cs="Arial"/>
          <w:color w:val="000000"/>
        </w:rPr>
        <w:t xml:space="preserve"> </w:t>
      </w:r>
      <w:r w:rsidRPr="00E816BF">
        <w:rPr>
          <w:rFonts w:cs="Arial"/>
          <w:color w:val="000000"/>
        </w:rPr>
        <w:t>to further victims. How to best achieve this will depend on many variables, such as the physical design and security features of the venue, the movement of the offender and the opportunities</w:t>
      </w:r>
      <w:r>
        <w:rPr>
          <w:rFonts w:cs="Arial"/>
          <w:color w:val="000000"/>
        </w:rPr>
        <w:t xml:space="preserve"> </w:t>
      </w:r>
      <w:r w:rsidRPr="00E816BF">
        <w:rPr>
          <w:rFonts w:cs="Arial"/>
          <w:color w:val="000000"/>
        </w:rPr>
        <w:t>for escape/shelter in place.</w:t>
      </w:r>
    </w:p>
    <w:p w:rsidR="00E816BF" w:rsidRPr="00E816BF" w:rsidRDefault="00E816BF" w:rsidP="00E816BF">
      <w:pPr>
        <w:autoSpaceDE w:val="0"/>
        <w:autoSpaceDN w:val="0"/>
        <w:adjustRightInd w:val="0"/>
        <w:spacing w:before="240"/>
        <w:rPr>
          <w:rFonts w:cs="Arial"/>
          <w:color w:val="000000"/>
        </w:rPr>
      </w:pPr>
      <w:r w:rsidRPr="00E816BF">
        <w:rPr>
          <w:rFonts w:cs="Arial"/>
          <w:color w:val="000000"/>
        </w:rPr>
        <w:t>Not all venues and events will share the same risk profile or have similar vulnerabilities, so the principle of ‘proportionality’ should generally</w:t>
      </w:r>
      <w:r>
        <w:rPr>
          <w:rFonts w:cs="Arial"/>
          <w:color w:val="000000"/>
        </w:rPr>
        <w:t xml:space="preserve"> </w:t>
      </w:r>
      <w:r w:rsidRPr="00E816BF">
        <w:rPr>
          <w:rFonts w:cs="Arial"/>
          <w:color w:val="000000"/>
        </w:rPr>
        <w:t>be applied to any prevention-related activities. This means that protective security measures not only need to be proportionate to the level of assessed risk, but should also try to strike a</w:t>
      </w:r>
      <w:r>
        <w:rPr>
          <w:rFonts w:cs="Arial"/>
          <w:color w:val="000000"/>
        </w:rPr>
        <w:t xml:space="preserve"> </w:t>
      </w:r>
      <w:r w:rsidRPr="00E816BF">
        <w:rPr>
          <w:rFonts w:cs="Arial"/>
          <w:color w:val="000000"/>
        </w:rPr>
        <w:t>balance between the threat to public safety and the expectations of the community. However, when</w:t>
      </w:r>
      <w:r>
        <w:rPr>
          <w:rFonts w:cs="Arial"/>
          <w:color w:val="000000"/>
        </w:rPr>
        <w:t xml:space="preserve"> </w:t>
      </w:r>
      <w:r w:rsidRPr="00E816BF">
        <w:rPr>
          <w:rFonts w:cs="Arial"/>
          <w:color w:val="000000"/>
        </w:rPr>
        <w:lastRenderedPageBreak/>
        <w:t>measuring proportionality it should be recognised that prevention and mitigation activities related to a specific threat may also provide broader crime prevention and public</w:t>
      </w:r>
      <w:r>
        <w:rPr>
          <w:rFonts w:cs="Arial"/>
          <w:color w:val="000000"/>
        </w:rPr>
        <w:t xml:space="preserve"> </w:t>
      </w:r>
      <w:r w:rsidRPr="00E816BF">
        <w:rPr>
          <w:rFonts w:cs="Arial"/>
          <w:color w:val="000000"/>
        </w:rPr>
        <w:t>safety benefits.</w:t>
      </w:r>
    </w:p>
    <w:p w:rsidR="00A0333F" w:rsidRDefault="001F0E58" w:rsidP="001F0E58">
      <w:pPr>
        <w:pStyle w:val="Heading1"/>
        <w:spacing w:before="240"/>
      </w:pPr>
      <w:bookmarkStart w:id="13" w:name="_Toc435611048"/>
      <w:r>
        <w:t>Preparedness</w:t>
      </w:r>
      <w:bookmarkEnd w:id="13"/>
    </w:p>
    <w:p w:rsidR="00A0333F" w:rsidRPr="001F0E58" w:rsidRDefault="001F0E58" w:rsidP="001F0E58">
      <w:pPr>
        <w:autoSpaceDE w:val="0"/>
        <w:autoSpaceDN w:val="0"/>
        <w:adjustRightInd w:val="0"/>
        <w:rPr>
          <w:rFonts w:cs="Arial"/>
          <w:color w:val="000000"/>
        </w:rPr>
      </w:pPr>
      <w:r w:rsidRPr="001F0E58">
        <w:rPr>
          <w:rFonts w:cs="Arial"/>
          <w:color w:val="000000"/>
        </w:rPr>
        <w:t xml:space="preserve">Activities associated with preparedness include emergency planning, resourcing, capability development and testing of preparedness arrangements. Risk management activities </w:t>
      </w:r>
      <w:r>
        <w:rPr>
          <w:rFonts w:cs="Arial"/>
          <w:color w:val="000000"/>
        </w:rPr>
        <w:t xml:space="preserve">are generally focused on the </w:t>
      </w:r>
      <w:r w:rsidRPr="001F0E58">
        <w:rPr>
          <w:rFonts w:cs="Arial"/>
          <w:color w:val="000000"/>
        </w:rPr>
        <w:t>development of standing plans for known or expected incidents, threats or</w:t>
      </w:r>
      <w:r>
        <w:rPr>
          <w:rFonts w:cs="Arial"/>
          <w:color w:val="000000"/>
        </w:rPr>
        <w:t xml:space="preserve"> emergency events. However, for </w:t>
      </w:r>
      <w:r w:rsidRPr="001F0E58">
        <w:rPr>
          <w:rFonts w:cs="Arial"/>
          <w:color w:val="000000"/>
        </w:rPr>
        <w:t>generally unexpected and dynamic events, such as activ</w:t>
      </w:r>
      <w:r>
        <w:rPr>
          <w:rFonts w:cs="Arial"/>
          <w:color w:val="000000"/>
        </w:rPr>
        <w:t xml:space="preserve">e shooter incidents, PMG owners </w:t>
      </w:r>
      <w:r w:rsidRPr="001F0E58">
        <w:rPr>
          <w:rFonts w:cs="Arial"/>
          <w:color w:val="000000"/>
        </w:rPr>
        <w:t>and operators should consider adopting a ‘contingency planning’ approach.</w:t>
      </w:r>
    </w:p>
    <w:p w:rsidR="00A0333F" w:rsidRDefault="001F0E58" w:rsidP="001F0E58">
      <w:pPr>
        <w:pStyle w:val="Heading2"/>
        <w:spacing w:before="240"/>
      </w:pPr>
      <w:bookmarkStart w:id="14" w:name="_Toc435611049"/>
      <w:r>
        <w:t>Contingency planning</w:t>
      </w:r>
      <w:bookmarkEnd w:id="14"/>
    </w:p>
    <w:p w:rsidR="001F0E58" w:rsidRDefault="001F0E58" w:rsidP="001F0E58">
      <w:pPr>
        <w:autoSpaceDE w:val="0"/>
        <w:autoSpaceDN w:val="0"/>
        <w:adjustRightInd w:val="0"/>
        <w:rPr>
          <w:rFonts w:cs="Arial"/>
          <w:color w:val="000000"/>
        </w:rPr>
      </w:pPr>
      <w:r w:rsidRPr="001F0E58">
        <w:rPr>
          <w:rFonts w:cs="Arial"/>
          <w:color w:val="000000"/>
        </w:rPr>
        <w:t xml:space="preserve">The aim of contingency planning is to enable a situational approach to emerging threats and response when unexpected situations arise. </w:t>
      </w:r>
      <w:r>
        <w:rPr>
          <w:rFonts w:cs="Arial"/>
          <w:color w:val="000000"/>
        </w:rPr>
        <w:t xml:space="preserve"> </w:t>
      </w:r>
      <w:r w:rsidRPr="001F0E58">
        <w:rPr>
          <w:rFonts w:cs="Arial"/>
          <w:color w:val="000000"/>
        </w:rPr>
        <w:t>Contingency plans generally supplement or complement general emergency response plans and arrangements, and are often designed as sub-plans. Some of the basic features of contingency plans are outlined below.</w:t>
      </w:r>
    </w:p>
    <w:p w:rsidR="001F0E58" w:rsidRPr="001F0E58" w:rsidRDefault="001F0E58" w:rsidP="008579D0">
      <w:pPr>
        <w:pStyle w:val="Heading3"/>
        <w:shd w:val="clear" w:color="auto" w:fill="E1E5EB"/>
        <w:spacing w:before="240"/>
      </w:pPr>
      <w:bookmarkStart w:id="15" w:name="_Toc435611050"/>
      <w:r w:rsidRPr="001F0E58">
        <w:t>Combined and coordinated management</w:t>
      </w:r>
      <w:bookmarkEnd w:id="15"/>
    </w:p>
    <w:p w:rsidR="001F0E58" w:rsidRPr="001F0E58" w:rsidRDefault="001F0E58" w:rsidP="008579D0">
      <w:pPr>
        <w:pStyle w:val="Default"/>
        <w:shd w:val="clear" w:color="auto" w:fill="E1E5EB"/>
        <w:spacing w:after="240"/>
        <w:rPr>
          <w:rFonts w:ascii="Arial" w:hAnsi="Arial" w:cs="Arial"/>
          <w:color w:val="000000"/>
        </w:rPr>
      </w:pPr>
      <w:r w:rsidRPr="001F0E58">
        <w:rPr>
          <w:rFonts w:cs="Arial"/>
          <w:color w:val="000000"/>
        </w:rPr>
        <w:t>Contingency plans should be based on a multi- stakeholder approach. They should consider and, where possible, integrate venue plans</w:t>
      </w:r>
      <w:r>
        <w:rPr>
          <w:rFonts w:cs="Arial"/>
          <w:color w:val="000000"/>
        </w:rPr>
        <w:t xml:space="preserve"> </w:t>
      </w:r>
      <w:r w:rsidRPr="001F0E58">
        <w:rPr>
          <w:rFonts w:ascii="Arial" w:hAnsi="Arial" w:cs="Arial"/>
          <w:color w:val="000000"/>
        </w:rPr>
        <w:t xml:space="preserve">and arrangements with responding agency </w:t>
      </w:r>
      <w:r w:rsidRPr="001F0E58">
        <w:rPr>
          <w:rFonts w:cs="Arial"/>
          <w:color w:val="000000"/>
        </w:rPr>
        <w:t xml:space="preserve">response plans and arrangements. </w:t>
      </w:r>
    </w:p>
    <w:p w:rsidR="001F0E58" w:rsidRPr="001F0E58" w:rsidRDefault="001F0E58" w:rsidP="008579D0">
      <w:pPr>
        <w:pStyle w:val="Heading3"/>
        <w:shd w:val="clear" w:color="auto" w:fill="E1E5EB"/>
      </w:pPr>
      <w:bookmarkStart w:id="16" w:name="_Toc435611051"/>
      <w:r w:rsidRPr="001F0E58">
        <w:t>Assessment</w:t>
      </w:r>
      <w:bookmarkEnd w:id="16"/>
      <w:r w:rsidRPr="001F0E58">
        <w:t xml:space="preserve"> </w:t>
      </w:r>
    </w:p>
    <w:p w:rsidR="00A0333F" w:rsidRPr="001F0E58" w:rsidRDefault="001F0E58" w:rsidP="008579D0">
      <w:pPr>
        <w:shd w:val="clear" w:color="auto" w:fill="E1E5EB"/>
        <w:autoSpaceDE w:val="0"/>
        <w:autoSpaceDN w:val="0"/>
        <w:adjustRightInd w:val="0"/>
        <w:spacing w:after="240"/>
        <w:rPr>
          <w:rFonts w:cs="Arial"/>
          <w:color w:val="000000"/>
        </w:rPr>
      </w:pPr>
      <w:r w:rsidRPr="001F0E58">
        <w:rPr>
          <w:rFonts w:cs="Arial"/>
          <w:color w:val="000000"/>
        </w:rPr>
        <w:t>Factors to consider when designing contingency plans include the characteristics of the location and the potential consequences of an attack at that location. Information and intelligence relevant to the likelihood of a particular target being subject to that type of threat should also be considered during the risk assessment process. Organisations should avoid a ‘one size fits all’ approach to differing venues.</w:t>
      </w:r>
    </w:p>
    <w:p w:rsidR="0087349F" w:rsidRDefault="0087349F" w:rsidP="008579D0">
      <w:pPr>
        <w:pStyle w:val="Heading3"/>
        <w:shd w:val="clear" w:color="auto" w:fill="E1E5EB"/>
      </w:pPr>
      <w:bookmarkStart w:id="17" w:name="_Toc435611052"/>
      <w:r>
        <w:t>Response</w:t>
      </w:r>
      <w:bookmarkEnd w:id="17"/>
    </w:p>
    <w:p w:rsidR="00A0333F" w:rsidRPr="0087349F" w:rsidRDefault="0087349F" w:rsidP="008579D0">
      <w:pPr>
        <w:shd w:val="clear" w:color="auto" w:fill="E1E5EB"/>
      </w:pPr>
      <w:r w:rsidRPr="0087349F">
        <w:t>Contingency plans should provide a range of options and scenarios to deal with specific issues. There is no one model to respond to every emergency, so responses need to be</w:t>
      </w:r>
      <w:r>
        <w:t xml:space="preserve"> </w:t>
      </w:r>
      <w:r w:rsidRPr="0087349F">
        <w:t>flexible and varied according to the nature and effects of the crisis. However there are some common objectives that characterise most</w:t>
      </w:r>
      <w:r>
        <w:t xml:space="preserve"> </w:t>
      </w:r>
      <w:r w:rsidRPr="0087349F">
        <w:t>emergency responses.</w:t>
      </w:r>
    </w:p>
    <w:p w:rsidR="0087349F" w:rsidRDefault="0087349F" w:rsidP="0087349F">
      <w:pPr>
        <w:autoSpaceDE w:val="0"/>
        <w:autoSpaceDN w:val="0"/>
        <w:adjustRightInd w:val="0"/>
        <w:spacing w:before="240"/>
        <w:rPr>
          <w:rFonts w:cs="Arial"/>
          <w:color w:val="000000"/>
        </w:rPr>
      </w:pPr>
      <w:r w:rsidRPr="0087349F">
        <w:rPr>
          <w:rFonts w:cs="Arial"/>
          <w:color w:val="000000"/>
        </w:rPr>
        <w:t xml:space="preserve">These include: </w:t>
      </w:r>
    </w:p>
    <w:p w:rsidR="0087349F" w:rsidRPr="0087349F" w:rsidRDefault="0087349F" w:rsidP="0087349F">
      <w:pPr>
        <w:pStyle w:val="ListParagraph"/>
        <w:numPr>
          <w:ilvl w:val="0"/>
          <w:numId w:val="10"/>
        </w:numPr>
        <w:autoSpaceDE w:val="0"/>
        <w:autoSpaceDN w:val="0"/>
        <w:adjustRightInd w:val="0"/>
        <w:spacing w:before="240"/>
        <w:rPr>
          <w:rFonts w:cs="Arial"/>
        </w:rPr>
      </w:pPr>
      <w:r w:rsidRPr="0087349F">
        <w:rPr>
          <w:rFonts w:cs="Arial"/>
        </w:rPr>
        <w:t xml:space="preserve">saving and protecting life </w:t>
      </w:r>
    </w:p>
    <w:p w:rsidR="0087349F" w:rsidRPr="0087349F" w:rsidRDefault="0087349F" w:rsidP="0087349F">
      <w:pPr>
        <w:pStyle w:val="ListParagraph"/>
        <w:numPr>
          <w:ilvl w:val="0"/>
          <w:numId w:val="10"/>
        </w:numPr>
        <w:autoSpaceDE w:val="0"/>
        <w:autoSpaceDN w:val="0"/>
        <w:adjustRightInd w:val="0"/>
        <w:rPr>
          <w:rFonts w:cs="Arial"/>
        </w:rPr>
      </w:pPr>
      <w:r w:rsidRPr="0087349F">
        <w:rPr>
          <w:rFonts w:cs="Arial"/>
        </w:rPr>
        <w:t>facilitating the evacuation of those at risk</w:t>
      </w:r>
    </w:p>
    <w:p w:rsidR="0087349F" w:rsidRPr="0087349F" w:rsidRDefault="0087349F" w:rsidP="0087349F">
      <w:pPr>
        <w:pStyle w:val="ListParagraph"/>
        <w:numPr>
          <w:ilvl w:val="0"/>
          <w:numId w:val="10"/>
        </w:numPr>
        <w:autoSpaceDE w:val="0"/>
        <w:autoSpaceDN w:val="0"/>
        <w:adjustRightInd w:val="0"/>
        <w:rPr>
          <w:rFonts w:cs="Arial"/>
        </w:rPr>
      </w:pPr>
      <w:r w:rsidRPr="0087349F">
        <w:rPr>
          <w:rFonts w:cs="Arial"/>
        </w:rPr>
        <w:t xml:space="preserve">containing the incident or threat </w:t>
      </w:r>
    </w:p>
    <w:p w:rsidR="0087349F" w:rsidRDefault="0087349F" w:rsidP="0087349F">
      <w:pPr>
        <w:pStyle w:val="ListParagraph"/>
        <w:numPr>
          <w:ilvl w:val="0"/>
          <w:numId w:val="10"/>
        </w:numPr>
        <w:autoSpaceDE w:val="0"/>
        <w:autoSpaceDN w:val="0"/>
        <w:adjustRightInd w:val="0"/>
        <w:rPr>
          <w:rFonts w:cs="Arial"/>
        </w:rPr>
      </w:pPr>
      <w:proofErr w:type="gramStart"/>
      <w:r>
        <w:rPr>
          <w:rFonts w:cs="Arial"/>
        </w:rPr>
        <w:t>s</w:t>
      </w:r>
      <w:r w:rsidRPr="0087349F">
        <w:rPr>
          <w:rFonts w:cs="Arial"/>
        </w:rPr>
        <w:t>upporting</w:t>
      </w:r>
      <w:proofErr w:type="gramEnd"/>
      <w:r w:rsidRPr="0087349F">
        <w:rPr>
          <w:rFonts w:cs="Arial"/>
        </w:rPr>
        <w:t xml:space="preserve"> emergency response and investigation activities.</w:t>
      </w:r>
    </w:p>
    <w:p w:rsidR="0087349F" w:rsidRPr="00B40AB0" w:rsidRDefault="0087349F" w:rsidP="0087349F">
      <w:pPr>
        <w:spacing w:before="240"/>
        <w:rPr>
          <w:i/>
        </w:rPr>
      </w:pPr>
      <w:r w:rsidRPr="0087349F">
        <w:t>Contingency plans should form part of overall emergency plan</w:t>
      </w:r>
      <w:r>
        <w:t xml:space="preserve">ning and briefing arrangements. </w:t>
      </w:r>
      <w:r w:rsidRPr="0087349F">
        <w:t xml:space="preserve">All emergency plans should be tested and reviewed on a regular basis to ensure they are well understood, contemporary and effective. </w:t>
      </w:r>
      <w:r>
        <w:t xml:space="preserve">Guidance for initial response considerations for venue management is contained at </w:t>
      </w:r>
      <w:r w:rsidRPr="006816C1">
        <w:rPr>
          <w:b/>
          <w:i/>
        </w:rPr>
        <w:t>Appendix B</w:t>
      </w:r>
      <w:r w:rsidRPr="00B40AB0">
        <w:rPr>
          <w:i/>
        </w:rPr>
        <w:t>.</w:t>
      </w:r>
    </w:p>
    <w:p w:rsidR="00B40AB0" w:rsidRPr="0087349F" w:rsidRDefault="00B40AB0" w:rsidP="00B40AB0">
      <w:pPr>
        <w:pStyle w:val="Heading1"/>
        <w:spacing w:before="240"/>
        <w:rPr>
          <w:color w:val="000000"/>
          <w14:textFill>
            <w14:solidFill>
              <w14:srgbClr w14:val="000000">
                <w14:lumMod w14:val="75000"/>
              </w14:srgbClr>
            </w14:solidFill>
          </w14:textFill>
        </w:rPr>
      </w:pPr>
      <w:bookmarkStart w:id="18" w:name="_Toc435611053"/>
      <w:r>
        <w:t>Response</w:t>
      </w:r>
      <w:bookmarkEnd w:id="18"/>
    </w:p>
    <w:p w:rsidR="0087349F" w:rsidRDefault="00B40AB0" w:rsidP="00B40AB0">
      <w:pPr>
        <w:pStyle w:val="Heading2"/>
      </w:pPr>
      <w:bookmarkStart w:id="19" w:name="_Toc435611054"/>
      <w:r>
        <w:t>Initial response</w:t>
      </w:r>
      <w:bookmarkEnd w:id="19"/>
    </w:p>
    <w:p w:rsidR="00B40AB0" w:rsidRDefault="00B40AB0" w:rsidP="00B40AB0">
      <w:pPr>
        <w:pStyle w:val="Default"/>
        <w:rPr>
          <w:rFonts w:cs="Arial"/>
          <w:color w:val="000000"/>
        </w:rPr>
      </w:pPr>
      <w:r>
        <w:t xml:space="preserve">Because of the dynamic and unpredictable nature of active shooter incidents there is no best practice or recommended response action that PMG owners and operators can build into their plans, arrangements and training </w:t>
      </w:r>
      <w:r w:rsidRPr="00B40AB0">
        <w:rPr>
          <w:rFonts w:ascii="Arial" w:hAnsi="Arial" w:cs="Arial"/>
          <w:color w:val="000000"/>
        </w:rPr>
        <w:t xml:space="preserve">activities. As previously mentioned, the primary objective of any initial response planning should be to minimise the offender’s access </w:t>
      </w:r>
      <w:r w:rsidRPr="00B40AB0">
        <w:rPr>
          <w:rFonts w:cs="Arial"/>
          <w:color w:val="000000"/>
        </w:rPr>
        <w:t xml:space="preserve">to victims. Therefore owners and operators should develop and practise strategies aimed at evacuating or isolating people or the offender. The US Department of Homeland Security has developed an </w:t>
      </w:r>
      <w:r w:rsidRPr="00B40AB0">
        <w:rPr>
          <w:rFonts w:cs="Arial"/>
          <w:i/>
          <w:color w:val="000000"/>
        </w:rPr>
        <w:t xml:space="preserve">Active Shooter: How to </w:t>
      </w:r>
      <w:r w:rsidR="00C86207" w:rsidRPr="00B40AB0">
        <w:rPr>
          <w:rFonts w:cs="Arial"/>
          <w:i/>
          <w:color w:val="000000"/>
        </w:rPr>
        <w:t>respond</w:t>
      </w:r>
      <w:r w:rsidRPr="00B40AB0">
        <w:rPr>
          <w:rFonts w:cs="Arial"/>
          <w:i/>
          <w:color w:val="000000"/>
        </w:rPr>
        <w:t xml:space="preserve"> guide</w:t>
      </w:r>
      <w:r w:rsidRPr="00B40AB0">
        <w:rPr>
          <w:rFonts w:cs="Arial"/>
          <w:color w:val="000000"/>
        </w:rPr>
        <w:t xml:space="preserve"> that is widely used internationally and outlines three key areas of focus.</w:t>
      </w:r>
    </w:p>
    <w:p w:rsidR="00B40AB0" w:rsidRDefault="00B40AB0">
      <w:pPr>
        <w:rPr>
          <w:rFonts w:ascii="MyriadMM_705_600_" w:hAnsi="MyriadMM_705_600_" w:cs="Arial"/>
          <w:color w:val="000000"/>
        </w:rPr>
      </w:pPr>
      <w:r>
        <w:rPr>
          <w:rFonts w:cs="Arial"/>
          <w:color w:val="000000"/>
        </w:rPr>
        <w:br w:type="page"/>
      </w:r>
    </w:p>
    <w:p w:rsidR="00B40AB0" w:rsidRDefault="00B40AB0" w:rsidP="008579D0">
      <w:pPr>
        <w:pStyle w:val="Default"/>
        <w:shd w:val="clear" w:color="auto" w:fill="E1E5EB"/>
        <w:spacing w:before="240"/>
        <w:rPr>
          <w:rFonts w:cs="Arial"/>
          <w:color w:val="000000"/>
        </w:rPr>
      </w:pPr>
      <w:r w:rsidRPr="00B40AB0">
        <w:rPr>
          <w:rFonts w:cs="Arial"/>
          <w:b/>
          <w:i/>
          <w:color w:val="000000"/>
        </w:rPr>
        <w:lastRenderedPageBreak/>
        <w:t>Escape:</w:t>
      </w:r>
      <w:r w:rsidRPr="00B40AB0">
        <w:rPr>
          <w:rFonts w:cs="Arial"/>
          <w:color w:val="000000"/>
        </w:rPr>
        <w:t xml:space="preserve"> Building occupants should consider</w:t>
      </w:r>
      <w:r>
        <w:rPr>
          <w:rFonts w:cs="Arial"/>
          <w:color w:val="000000"/>
        </w:rPr>
        <w:t xml:space="preserve"> </w:t>
      </w:r>
      <w:r w:rsidRPr="00B40AB0">
        <w:rPr>
          <w:rFonts w:cs="Arial"/>
          <w:color w:val="000000"/>
        </w:rPr>
        <w:t xml:space="preserve">evacuating the </w:t>
      </w:r>
      <w:r>
        <w:rPr>
          <w:rFonts w:cs="Arial"/>
          <w:color w:val="000000"/>
        </w:rPr>
        <w:t xml:space="preserve">facility if it is safe to do so. </w:t>
      </w:r>
      <w:r w:rsidRPr="00B40AB0">
        <w:rPr>
          <w:rFonts w:cs="Arial"/>
          <w:color w:val="000000"/>
        </w:rPr>
        <w:t>They should leave behind most belongings</w:t>
      </w:r>
      <w:r>
        <w:rPr>
          <w:rFonts w:cs="Arial"/>
          <w:color w:val="000000"/>
        </w:rPr>
        <w:t xml:space="preserve"> </w:t>
      </w:r>
      <w:r w:rsidRPr="00B40AB0">
        <w:rPr>
          <w:rFonts w:cs="Arial"/>
          <w:color w:val="000000"/>
        </w:rPr>
        <w:t>and determine the safest escape route before beginning to move. Maintaining concealment</w:t>
      </w:r>
      <w:r>
        <w:rPr>
          <w:rFonts w:cs="Arial"/>
          <w:color w:val="000000"/>
        </w:rPr>
        <w:t xml:space="preserve"> </w:t>
      </w:r>
      <w:r w:rsidRPr="00B40AB0">
        <w:rPr>
          <w:rFonts w:cs="Arial"/>
          <w:color w:val="000000"/>
        </w:rPr>
        <w:t>or cover from gunfire while moving is also</w:t>
      </w:r>
      <w:r>
        <w:rPr>
          <w:rFonts w:cs="Arial"/>
          <w:color w:val="000000"/>
        </w:rPr>
        <w:t xml:space="preserve"> </w:t>
      </w:r>
      <w:r w:rsidRPr="00B40AB0">
        <w:rPr>
          <w:rFonts w:cs="Arial"/>
          <w:color w:val="000000"/>
        </w:rPr>
        <w:t>important.</w:t>
      </w:r>
    </w:p>
    <w:p w:rsidR="00B40AB0" w:rsidRDefault="00B40AB0" w:rsidP="008579D0">
      <w:pPr>
        <w:shd w:val="clear" w:color="auto" w:fill="E1E5EB"/>
        <w:autoSpaceDE w:val="0"/>
        <w:autoSpaceDN w:val="0"/>
        <w:adjustRightInd w:val="0"/>
        <w:spacing w:before="240"/>
        <w:rPr>
          <w:rFonts w:cs="Arial"/>
          <w:color w:val="000000"/>
        </w:rPr>
      </w:pPr>
      <w:r w:rsidRPr="00B40AB0">
        <w:rPr>
          <w:rFonts w:cs="Arial"/>
          <w:b/>
          <w:bCs/>
          <w:i/>
          <w:iCs/>
          <w:color w:val="000000"/>
        </w:rPr>
        <w:t xml:space="preserve">Hide: </w:t>
      </w:r>
      <w:r w:rsidRPr="00B40AB0">
        <w:rPr>
          <w:rFonts w:cs="Arial"/>
          <w:color w:val="000000"/>
        </w:rPr>
        <w:t>If safely evacuating the venue is not possible, occupants should seek to hide in a secure area where they can lock the door, lock or blockade the door with heavy furniture, cover windows, turn off lights and remain silent. Mobile phones should also be turned to silent.</w:t>
      </w:r>
    </w:p>
    <w:p w:rsidR="00B40AB0" w:rsidRDefault="00B40AB0" w:rsidP="008579D0">
      <w:pPr>
        <w:shd w:val="clear" w:color="auto" w:fill="E1E5EB"/>
        <w:autoSpaceDE w:val="0"/>
        <w:autoSpaceDN w:val="0"/>
        <w:adjustRightInd w:val="0"/>
        <w:spacing w:before="240"/>
        <w:rPr>
          <w:rFonts w:cs="Arial"/>
          <w:color w:val="000000"/>
        </w:rPr>
      </w:pPr>
      <w:r w:rsidRPr="00B40AB0">
        <w:rPr>
          <w:rFonts w:cs="Arial"/>
          <w:b/>
          <w:bCs/>
          <w:i/>
          <w:iCs/>
          <w:color w:val="000000"/>
        </w:rPr>
        <w:t xml:space="preserve">Take action: </w:t>
      </w:r>
      <w:r w:rsidRPr="00B40AB0">
        <w:rPr>
          <w:rFonts w:cs="Arial"/>
          <w:color w:val="000000"/>
        </w:rPr>
        <w:t>If the option of hiding in place is adopted, individuals should continually re-assess the situation and their opportunities to safely evacuate or better secure themselves within the premises. They may also need to consider options to incapacitate the active shooter in the event they are located. This can include using or throwing available objects or using aggressive force when confronted. Such action should only be taken as a last resort and in order to protect the life of the individual or others in that area</w:t>
      </w:r>
      <w:r>
        <w:rPr>
          <w:rFonts w:cs="Arial"/>
          <w:color w:val="000000"/>
        </w:rPr>
        <w:t>.</w:t>
      </w:r>
    </w:p>
    <w:p w:rsidR="00B40AB0" w:rsidRDefault="00B40AB0" w:rsidP="00B40AB0">
      <w:pPr>
        <w:pStyle w:val="Heading2"/>
        <w:spacing w:before="240"/>
      </w:pPr>
      <w:bookmarkStart w:id="20" w:name="_Toc435611055"/>
      <w:r>
        <w:t>Transition considerations</w:t>
      </w:r>
      <w:bookmarkEnd w:id="20"/>
    </w:p>
    <w:p w:rsidR="00B40AB0" w:rsidRDefault="00B40AB0" w:rsidP="00B40AB0">
      <w:pPr>
        <w:pStyle w:val="Default"/>
        <w:spacing w:before="240"/>
      </w:pPr>
      <w:r>
        <w:t xml:space="preserve">Responsibility for implementing and coordinating initial response activities will, in most instances, be assumed by the venue/facility management or security staff until emergency responders are able to take over that responsibility. A critical aspect of managing that response and transitioning responsibility will be the ability to gain ‘situational awareness’. </w:t>
      </w:r>
    </w:p>
    <w:p w:rsidR="00B40AB0" w:rsidRDefault="00B40AB0" w:rsidP="00B40AB0">
      <w:pPr>
        <w:pStyle w:val="Default"/>
        <w:spacing w:before="240"/>
        <w:rPr>
          <w:rFonts w:ascii="Arial" w:hAnsi="Arial" w:cs="Arial"/>
          <w:color w:val="000000"/>
        </w:rPr>
      </w:pPr>
      <w:r>
        <w:t xml:space="preserve">Establishing early, effective and continuous lines of communication from the incident site to the responding police agency will be critical in </w:t>
      </w:r>
      <w:r w:rsidRPr="00B40AB0">
        <w:rPr>
          <w:rFonts w:ascii="Arial" w:hAnsi="Arial" w:cs="Arial"/>
          <w:color w:val="000000"/>
        </w:rPr>
        <w:t xml:space="preserve">order to accurately inform them of the present situation and its subsequent development. </w:t>
      </w:r>
      <w:r>
        <w:rPr>
          <w:rFonts w:ascii="Arial" w:hAnsi="Arial" w:cs="Arial"/>
          <w:color w:val="000000"/>
        </w:rPr>
        <w:t xml:space="preserve"> </w:t>
      </w:r>
    </w:p>
    <w:p w:rsidR="00B40AB0" w:rsidRDefault="00B40AB0" w:rsidP="00B40AB0">
      <w:pPr>
        <w:pStyle w:val="Default"/>
        <w:spacing w:before="240"/>
        <w:rPr>
          <w:rFonts w:cs="Arial"/>
          <w:color w:val="000000"/>
        </w:rPr>
      </w:pPr>
      <w:r w:rsidRPr="00B40AB0">
        <w:rPr>
          <w:rFonts w:cs="Arial"/>
          <w:color w:val="000000"/>
        </w:rPr>
        <w:t xml:space="preserve">Knowing or understanding the expectations of </w:t>
      </w:r>
      <w:r>
        <w:rPr>
          <w:rFonts w:cs="Arial"/>
          <w:color w:val="000000"/>
        </w:rPr>
        <w:t>law</w:t>
      </w:r>
      <w:r w:rsidRPr="00B40AB0">
        <w:rPr>
          <w:rFonts w:cs="Arial"/>
          <w:color w:val="000000"/>
        </w:rPr>
        <w:t xml:space="preserve"> enforcement responders will also enable a faster transition of incident management. Planning and staff capability/training activities should include:</w:t>
      </w:r>
    </w:p>
    <w:p w:rsidR="00B40AB0" w:rsidRDefault="00B40AB0" w:rsidP="00B40AB0">
      <w:pPr>
        <w:pStyle w:val="Default"/>
        <w:numPr>
          <w:ilvl w:val="0"/>
          <w:numId w:val="11"/>
        </w:numPr>
        <w:spacing w:before="240"/>
        <w:rPr>
          <w:rFonts w:ascii="Arial" w:hAnsi="Arial" w:cs="Arial"/>
          <w:color w:val="000000"/>
        </w:rPr>
      </w:pPr>
      <w:r w:rsidRPr="00B40AB0">
        <w:rPr>
          <w:rFonts w:ascii="Arial" w:hAnsi="Arial" w:cs="Arial"/>
          <w:color w:val="000000"/>
        </w:rPr>
        <w:t>developing strategies that allow designated staff to safely maintain situational awareness of the incident and relay any new information</w:t>
      </w:r>
      <w:r>
        <w:rPr>
          <w:rFonts w:ascii="Arial" w:hAnsi="Arial" w:cs="Arial"/>
          <w:color w:val="000000"/>
        </w:rPr>
        <w:t xml:space="preserve"> </w:t>
      </w:r>
      <w:r w:rsidRPr="00B40AB0">
        <w:rPr>
          <w:rFonts w:ascii="Arial" w:hAnsi="Arial" w:cs="Arial"/>
          <w:color w:val="000000"/>
        </w:rPr>
        <w:t>to police first responders</w:t>
      </w:r>
    </w:p>
    <w:p w:rsidR="00B40AB0" w:rsidRDefault="00B40AB0" w:rsidP="00B40AB0">
      <w:pPr>
        <w:pStyle w:val="ListParagraph"/>
        <w:numPr>
          <w:ilvl w:val="0"/>
          <w:numId w:val="11"/>
        </w:numPr>
        <w:autoSpaceDE w:val="0"/>
        <w:autoSpaceDN w:val="0"/>
        <w:adjustRightInd w:val="0"/>
        <w:rPr>
          <w:rFonts w:cs="Arial"/>
          <w:color w:val="000000"/>
        </w:rPr>
      </w:pPr>
      <w:proofErr w:type="gramStart"/>
      <w:r w:rsidRPr="00B40AB0">
        <w:rPr>
          <w:rFonts w:cs="Arial"/>
          <w:color w:val="000000"/>
        </w:rPr>
        <w:t>training</w:t>
      </w:r>
      <w:proofErr w:type="gramEnd"/>
      <w:r w:rsidRPr="00B40AB0">
        <w:rPr>
          <w:rFonts w:cs="Arial"/>
          <w:color w:val="000000"/>
        </w:rPr>
        <w:t xml:space="preserve"> staff and occupants on how to respond when law enforcement arrives on scene.</w:t>
      </w:r>
    </w:p>
    <w:p w:rsidR="00B40AB0" w:rsidRDefault="00B40AB0" w:rsidP="00B40AB0">
      <w:pPr>
        <w:autoSpaceDE w:val="0"/>
        <w:autoSpaceDN w:val="0"/>
        <w:adjustRightInd w:val="0"/>
        <w:spacing w:before="240"/>
        <w:rPr>
          <w:rFonts w:cs="Arial"/>
          <w:color w:val="000000"/>
        </w:rPr>
      </w:pPr>
      <w:r w:rsidRPr="00B40AB0">
        <w:rPr>
          <w:rFonts w:cs="Arial"/>
          <w:color w:val="000000"/>
        </w:rPr>
        <w:t>The preferred response when police arrive may vary slightly across Australian states and</w:t>
      </w:r>
      <w:r>
        <w:rPr>
          <w:rFonts w:cs="Arial"/>
          <w:color w:val="000000"/>
        </w:rPr>
        <w:t xml:space="preserve"> </w:t>
      </w:r>
      <w:r w:rsidRPr="00B40AB0">
        <w:rPr>
          <w:rFonts w:cs="Arial"/>
          <w:color w:val="000000"/>
        </w:rPr>
        <w:t>territories, so PMG owners and operators should consult with local law enforcement agencies</w:t>
      </w:r>
      <w:r>
        <w:rPr>
          <w:rFonts w:cs="Arial"/>
          <w:color w:val="000000"/>
        </w:rPr>
        <w:t xml:space="preserve"> </w:t>
      </w:r>
      <w:r w:rsidRPr="00B40AB0">
        <w:rPr>
          <w:rFonts w:cs="Arial"/>
          <w:color w:val="000000"/>
        </w:rPr>
        <w:t>when developing their response plans.</w:t>
      </w:r>
    </w:p>
    <w:p w:rsidR="00B40AB0" w:rsidRDefault="00B40AB0" w:rsidP="00B40AB0">
      <w:pPr>
        <w:autoSpaceDE w:val="0"/>
        <w:autoSpaceDN w:val="0"/>
        <w:adjustRightInd w:val="0"/>
        <w:spacing w:before="240"/>
        <w:rPr>
          <w:rFonts w:cs="Arial"/>
          <w:color w:val="000000"/>
        </w:rPr>
      </w:pPr>
      <w:r w:rsidRPr="00B40AB0">
        <w:rPr>
          <w:rFonts w:cs="Arial"/>
          <w:color w:val="000000"/>
        </w:rPr>
        <w:t>Guidance for initial response considerations for affected staff and occupants is contained at</w:t>
      </w:r>
      <w:r>
        <w:rPr>
          <w:rFonts w:cs="Arial"/>
          <w:color w:val="000000"/>
        </w:rPr>
        <w:t xml:space="preserve"> </w:t>
      </w:r>
      <w:r w:rsidRPr="006816C1">
        <w:rPr>
          <w:rFonts w:cs="Arial"/>
          <w:b/>
          <w:i/>
          <w:color w:val="000000"/>
        </w:rPr>
        <w:t>Appendix C</w:t>
      </w:r>
      <w:r w:rsidRPr="00B40AB0">
        <w:rPr>
          <w:rFonts w:cs="Arial"/>
          <w:color w:val="000000"/>
        </w:rPr>
        <w:t>.</w:t>
      </w:r>
    </w:p>
    <w:p w:rsidR="00C86207" w:rsidRDefault="00C86207" w:rsidP="00C86207">
      <w:pPr>
        <w:pStyle w:val="Heading2"/>
        <w:spacing w:before="240"/>
      </w:pPr>
      <w:bookmarkStart w:id="21" w:name="_Toc435611056"/>
      <w:r>
        <w:t>Police response</w:t>
      </w:r>
      <w:bookmarkEnd w:id="21"/>
    </w:p>
    <w:p w:rsidR="00C86207" w:rsidRDefault="00C86207" w:rsidP="00C86207">
      <w:pPr>
        <w:autoSpaceDE w:val="0"/>
        <w:autoSpaceDN w:val="0"/>
        <w:adjustRightInd w:val="0"/>
        <w:rPr>
          <w:rFonts w:cs="Arial"/>
          <w:color w:val="000000"/>
        </w:rPr>
      </w:pPr>
      <w:r w:rsidRPr="00C86207">
        <w:rPr>
          <w:rFonts w:cs="Arial"/>
          <w:color w:val="000000"/>
        </w:rPr>
        <w:t>Each juri</w:t>
      </w:r>
      <w:r>
        <w:rPr>
          <w:rFonts w:cs="Arial"/>
          <w:color w:val="000000"/>
        </w:rPr>
        <w:t>sdiction has systems and inter-</w:t>
      </w:r>
      <w:r w:rsidRPr="00C86207">
        <w:rPr>
          <w:rFonts w:cs="Arial"/>
          <w:color w:val="000000"/>
        </w:rPr>
        <w:t>agency arrangements that provide the basis for emergency management and critical incident response. These procedures and arrangements have been tailored to meet the specific needs, capacities and capabilities in each jurisd</w:t>
      </w:r>
      <w:r>
        <w:rPr>
          <w:rFonts w:cs="Arial"/>
          <w:color w:val="000000"/>
        </w:rPr>
        <w:t>iction’s operating environment.</w:t>
      </w:r>
    </w:p>
    <w:p w:rsidR="00C86207" w:rsidRDefault="00C86207" w:rsidP="00C86207">
      <w:pPr>
        <w:autoSpaceDE w:val="0"/>
        <w:autoSpaceDN w:val="0"/>
        <w:adjustRightInd w:val="0"/>
        <w:spacing w:before="240"/>
        <w:rPr>
          <w:rFonts w:cs="Arial"/>
          <w:color w:val="000000"/>
        </w:rPr>
      </w:pPr>
      <w:r w:rsidRPr="00C86207">
        <w:rPr>
          <w:rFonts w:cs="Arial"/>
          <w:color w:val="000000"/>
        </w:rPr>
        <w:t>Commonalities across Australian and New Zeala</w:t>
      </w:r>
      <w:r>
        <w:rPr>
          <w:rFonts w:cs="Arial"/>
          <w:color w:val="000000"/>
        </w:rPr>
        <w:t>nd police jurisdictions include:</w:t>
      </w:r>
    </w:p>
    <w:p w:rsidR="00C86207" w:rsidRDefault="00C86207" w:rsidP="00C86207">
      <w:pPr>
        <w:pStyle w:val="ListParagraph"/>
        <w:numPr>
          <w:ilvl w:val="0"/>
          <w:numId w:val="12"/>
        </w:numPr>
        <w:autoSpaceDE w:val="0"/>
        <w:autoSpaceDN w:val="0"/>
        <w:adjustRightInd w:val="0"/>
        <w:spacing w:before="240"/>
        <w:rPr>
          <w:rFonts w:cs="Arial"/>
          <w:color w:val="000000"/>
        </w:rPr>
      </w:pPr>
      <w:r w:rsidRPr="00C86207">
        <w:rPr>
          <w:rFonts w:cs="Arial"/>
          <w:color w:val="000000"/>
        </w:rPr>
        <w:t>operational response strategies, including incident and emergency management models</w:t>
      </w:r>
    </w:p>
    <w:p w:rsidR="00C86207" w:rsidRDefault="00C86207" w:rsidP="00C86207">
      <w:pPr>
        <w:pStyle w:val="ListParagraph"/>
        <w:numPr>
          <w:ilvl w:val="0"/>
          <w:numId w:val="12"/>
        </w:numPr>
        <w:autoSpaceDE w:val="0"/>
        <w:autoSpaceDN w:val="0"/>
        <w:adjustRightInd w:val="0"/>
        <w:spacing w:before="240"/>
        <w:rPr>
          <w:rFonts w:cs="Arial"/>
          <w:color w:val="000000"/>
        </w:rPr>
      </w:pPr>
      <w:proofErr w:type="gramStart"/>
      <w:r w:rsidRPr="00C86207">
        <w:rPr>
          <w:rFonts w:cs="Arial"/>
          <w:color w:val="000000"/>
        </w:rPr>
        <w:t>a</w:t>
      </w:r>
      <w:proofErr w:type="gramEnd"/>
      <w:r w:rsidRPr="00C86207">
        <w:rPr>
          <w:rFonts w:cs="Arial"/>
          <w:color w:val="000000"/>
        </w:rPr>
        <w:t xml:space="preserve"> use of force model supported by operational principles, skills and tactics training.</w:t>
      </w:r>
    </w:p>
    <w:p w:rsidR="00C86207" w:rsidRDefault="00C86207" w:rsidP="00C86207">
      <w:pPr>
        <w:autoSpaceDE w:val="0"/>
        <w:autoSpaceDN w:val="0"/>
        <w:adjustRightInd w:val="0"/>
        <w:spacing w:before="240"/>
        <w:rPr>
          <w:rFonts w:cs="Arial"/>
          <w:color w:val="000000"/>
        </w:rPr>
      </w:pPr>
      <w:r w:rsidRPr="00C86207">
        <w:rPr>
          <w:rFonts w:cs="Arial"/>
          <w:color w:val="000000"/>
        </w:rPr>
        <w:t>Despite many similarities, there remain a number of differences in emergency management arrangements, processes and terminology across the states and territories. It is therefore critical that PMG and major event stakeholders develop a firm understanding of the emergency service arrangements t</w:t>
      </w:r>
      <w:r>
        <w:rPr>
          <w:rFonts w:cs="Arial"/>
          <w:color w:val="000000"/>
        </w:rPr>
        <w:t xml:space="preserve">hat apply to the jurisdiction that they are </w:t>
      </w:r>
      <w:r w:rsidRPr="00C86207">
        <w:rPr>
          <w:rFonts w:cs="Arial"/>
          <w:color w:val="000000"/>
        </w:rPr>
        <w:t>operating in.</w:t>
      </w:r>
    </w:p>
    <w:p w:rsidR="00C86207" w:rsidRDefault="00C86207" w:rsidP="00C86207">
      <w:pPr>
        <w:autoSpaceDE w:val="0"/>
        <w:autoSpaceDN w:val="0"/>
        <w:adjustRightInd w:val="0"/>
        <w:spacing w:before="240"/>
        <w:rPr>
          <w:rFonts w:cs="Arial"/>
          <w:color w:val="000000"/>
        </w:rPr>
      </w:pPr>
      <w:r w:rsidRPr="00C86207">
        <w:rPr>
          <w:rFonts w:cs="Arial"/>
          <w:color w:val="000000"/>
        </w:rPr>
        <w:t>Due to the dynamic nature of active shooter incidents, highly trained and equipped police tactical group operators may be unable to respond to a scene in a timely manner. As such, uniformed, general-duties police officers will generally provide the initial response to most active shooter situations and may potentially manage them to their conclusion. While the specific tactics, policies and training of police first responders may vary across jurisdictions, it is expected that the following objectives will guide their initial response activities.</w:t>
      </w:r>
    </w:p>
    <w:p w:rsidR="00C86207" w:rsidRDefault="00C86207">
      <w:pPr>
        <w:rPr>
          <w:rFonts w:cs="Arial"/>
          <w:color w:val="000000"/>
        </w:rPr>
      </w:pPr>
      <w:r>
        <w:rPr>
          <w:rFonts w:cs="Arial"/>
          <w:color w:val="000000"/>
        </w:rPr>
        <w:br w:type="page"/>
      </w:r>
    </w:p>
    <w:p w:rsidR="00C86207" w:rsidRDefault="00C86207" w:rsidP="00C86207">
      <w:pPr>
        <w:spacing w:before="240" w:after="240"/>
        <w:rPr>
          <w:rFonts w:cs="Arial"/>
        </w:rPr>
      </w:pPr>
      <w:r w:rsidRPr="00C86207">
        <w:rPr>
          <w:rFonts w:cs="Arial"/>
          <w:b/>
          <w:i/>
        </w:rPr>
        <w:lastRenderedPageBreak/>
        <w:t>Mission:</w:t>
      </w:r>
      <w:r w:rsidRPr="00C86207">
        <w:rPr>
          <w:rFonts w:cs="Arial"/>
        </w:rPr>
        <w:t xml:space="preserve"> The main objective of the police first responders in an active shooter incident is to save lives and prevent further loss of life or injuries. This will generally be achieved through</w:t>
      </w:r>
      <w:r>
        <w:rPr>
          <w:rFonts w:cs="Arial"/>
        </w:rPr>
        <w:t xml:space="preserve"> </w:t>
      </w:r>
      <w:r w:rsidRPr="00C86207">
        <w:rPr>
          <w:rFonts w:cs="Arial"/>
        </w:rPr>
        <w:t>a rapid deployment strategy.</w:t>
      </w:r>
      <w:r>
        <w:rPr>
          <w:rFonts w:cs="Arial"/>
        </w:rPr>
        <w:t xml:space="preserve"> </w:t>
      </w:r>
    </w:p>
    <w:p w:rsidR="00C86207" w:rsidRDefault="00C86207" w:rsidP="00C86207">
      <w:pPr>
        <w:spacing w:before="240" w:after="240"/>
        <w:rPr>
          <w:rFonts w:cs="Arial"/>
        </w:rPr>
      </w:pPr>
      <w:r w:rsidRPr="00C86207">
        <w:rPr>
          <w:rFonts w:cs="Arial"/>
        </w:rPr>
        <w:t>The focus of a rapid deployment strategy should</w:t>
      </w:r>
      <w:r>
        <w:rPr>
          <w:rFonts w:cs="Arial"/>
        </w:rPr>
        <w:t xml:space="preserve"> </w:t>
      </w:r>
      <w:r w:rsidRPr="00C86207">
        <w:rPr>
          <w:rFonts w:cs="Arial"/>
        </w:rPr>
        <w:t>be to reduce or suppress the threat posed by the active shooter as quickly as possible.</w:t>
      </w:r>
      <w:r>
        <w:rPr>
          <w:rFonts w:cs="Arial"/>
        </w:rPr>
        <w:t xml:space="preserve"> </w:t>
      </w:r>
      <w:r w:rsidRPr="00C86207">
        <w:rPr>
          <w:rFonts w:cs="Arial"/>
        </w:rPr>
        <w:t>Cordon, manage and negotiate strategies are unlikely to be effective in reducing the time a shooter has to achieve their desired outcomes, or limiting their freedom of movement. The most appropriate response to an active shooter</w:t>
      </w:r>
      <w:r>
        <w:rPr>
          <w:rFonts w:cs="Arial"/>
        </w:rPr>
        <w:t xml:space="preserve"> </w:t>
      </w:r>
      <w:r w:rsidRPr="00C86207">
        <w:rPr>
          <w:rFonts w:cs="Arial"/>
        </w:rPr>
        <w:t>incident will also depend on many other factors, including available police resources, the incident</w:t>
      </w:r>
      <w:r>
        <w:rPr>
          <w:rFonts w:cs="Arial"/>
        </w:rPr>
        <w:t xml:space="preserve"> </w:t>
      </w:r>
      <w:r w:rsidRPr="00C86207">
        <w:rPr>
          <w:rFonts w:cs="Arial"/>
        </w:rPr>
        <w:t>setting and the tactics or weapons involved.</w:t>
      </w:r>
    </w:p>
    <w:p w:rsidR="00C86207" w:rsidRDefault="00C86207" w:rsidP="00C86207">
      <w:pPr>
        <w:autoSpaceDE w:val="0"/>
        <w:autoSpaceDN w:val="0"/>
        <w:adjustRightInd w:val="0"/>
        <w:rPr>
          <w:rFonts w:cs="Arial"/>
          <w:color w:val="000000"/>
        </w:rPr>
      </w:pPr>
      <w:r w:rsidRPr="00C86207">
        <w:rPr>
          <w:rFonts w:cs="Arial"/>
          <w:b/>
          <w:bCs/>
          <w:i/>
          <w:iCs/>
          <w:color w:val="000000"/>
        </w:rPr>
        <w:t xml:space="preserve">Locate and isolate: </w:t>
      </w:r>
      <w:r w:rsidRPr="00C86207">
        <w:rPr>
          <w:rFonts w:cs="Arial"/>
          <w:color w:val="000000"/>
        </w:rPr>
        <w:t>Once the decision to rapidly deploy has been made, the focus will generally be on how to reduce the offender’s area of operation and access to potential victims. This is best achieved by quickly locating the offender and restricting their movement. To achieve this, first responders may initially need to keep moving past casualties and panicked people to try and reach the offender and contain the threat as quickly as possible.</w:t>
      </w:r>
    </w:p>
    <w:p w:rsidR="00C86207" w:rsidRDefault="00C86207" w:rsidP="00C86207">
      <w:pPr>
        <w:autoSpaceDE w:val="0"/>
        <w:autoSpaceDN w:val="0"/>
        <w:adjustRightInd w:val="0"/>
        <w:spacing w:before="240"/>
        <w:rPr>
          <w:rFonts w:cs="Arial"/>
          <w:color w:val="000000"/>
        </w:rPr>
      </w:pPr>
      <w:r w:rsidRPr="00C86207">
        <w:rPr>
          <w:rFonts w:cs="Arial"/>
          <w:b/>
          <w:i/>
          <w:color w:val="000000"/>
        </w:rPr>
        <w:t>Command and control:</w:t>
      </w:r>
      <w:r w:rsidRPr="00C86207">
        <w:rPr>
          <w:rFonts w:cs="Arial"/>
          <w:color w:val="000000"/>
        </w:rPr>
        <w:t xml:space="preserve"> Any response to a major emergency or incident should be managed by an appropriate command, control and coordination structure. In active</w:t>
      </w:r>
      <w:r>
        <w:rPr>
          <w:rFonts w:cs="Arial"/>
          <w:color w:val="000000"/>
        </w:rPr>
        <w:t xml:space="preserve"> </w:t>
      </w:r>
      <w:r w:rsidRPr="00C86207">
        <w:rPr>
          <w:rFonts w:cs="Arial"/>
          <w:color w:val="000000"/>
        </w:rPr>
        <w:t>shooter situations, however, this might not be achievable in the first instance as it may affect any rapid deployment activities. The need</w:t>
      </w:r>
      <w:r>
        <w:rPr>
          <w:rFonts w:cs="Arial"/>
          <w:color w:val="000000"/>
        </w:rPr>
        <w:t xml:space="preserve"> </w:t>
      </w:r>
      <w:r w:rsidRPr="00C86207">
        <w:rPr>
          <w:rFonts w:cs="Arial"/>
          <w:color w:val="000000"/>
        </w:rPr>
        <w:t>to establish effective command and control of the incident, including coordination with</w:t>
      </w:r>
      <w:r>
        <w:rPr>
          <w:rFonts w:cs="Arial"/>
          <w:color w:val="000000"/>
        </w:rPr>
        <w:t xml:space="preserve"> </w:t>
      </w:r>
      <w:r w:rsidRPr="00C86207">
        <w:rPr>
          <w:rFonts w:cs="Arial"/>
          <w:color w:val="000000"/>
        </w:rPr>
        <w:t>venue management, may therefore become</w:t>
      </w:r>
      <w:r w:rsidRPr="00C86207">
        <w:t xml:space="preserve"> </w:t>
      </w:r>
      <w:r w:rsidRPr="00C86207">
        <w:rPr>
          <w:rFonts w:cs="Arial"/>
          <w:color w:val="000000"/>
        </w:rPr>
        <w:t>a secondary priority that is delegated to</w:t>
      </w:r>
      <w:r>
        <w:rPr>
          <w:rFonts w:cs="Arial"/>
          <w:color w:val="000000"/>
        </w:rPr>
        <w:t xml:space="preserve"> </w:t>
      </w:r>
      <w:r w:rsidRPr="00C86207">
        <w:rPr>
          <w:rFonts w:cs="Arial"/>
          <w:color w:val="000000"/>
        </w:rPr>
        <w:t>subsequent responding units.</w:t>
      </w:r>
    </w:p>
    <w:p w:rsidR="00C86207" w:rsidRPr="00C86207" w:rsidRDefault="00C86207" w:rsidP="00C86207">
      <w:pPr>
        <w:pStyle w:val="Heading1"/>
        <w:spacing w:before="240"/>
      </w:pPr>
      <w:bookmarkStart w:id="22" w:name="_Toc435611057"/>
      <w:r>
        <w:t>Recovery</w:t>
      </w:r>
      <w:bookmarkEnd w:id="22"/>
    </w:p>
    <w:p w:rsidR="00C86207" w:rsidRDefault="00C86207" w:rsidP="00C86207">
      <w:pPr>
        <w:autoSpaceDE w:val="0"/>
        <w:autoSpaceDN w:val="0"/>
        <w:adjustRightInd w:val="0"/>
        <w:rPr>
          <w:rFonts w:cs="Arial"/>
          <w:color w:val="000000"/>
        </w:rPr>
      </w:pPr>
      <w:r w:rsidRPr="00C86207">
        <w:rPr>
          <w:rFonts w:cs="Arial"/>
          <w:color w:val="000000"/>
        </w:rPr>
        <w:t xml:space="preserve">To ensure a smooth transition from response to recovery, arrangements that commenced during response should be gradually devolved and integrated. This will include aspects such as media and information management, impact assessment, rehabilitation of the built environment and restoring community and staff confidence. </w:t>
      </w:r>
    </w:p>
    <w:p w:rsidR="00C86207" w:rsidRDefault="00C86207" w:rsidP="00C86207">
      <w:pPr>
        <w:autoSpaceDE w:val="0"/>
        <w:autoSpaceDN w:val="0"/>
        <w:adjustRightInd w:val="0"/>
        <w:spacing w:before="240" w:after="240"/>
        <w:rPr>
          <w:rFonts w:cs="Arial"/>
          <w:color w:val="000000"/>
        </w:rPr>
      </w:pPr>
      <w:r>
        <w:rPr>
          <w:rFonts w:cs="Arial"/>
          <w:color w:val="000000"/>
        </w:rPr>
        <w:t>While many recovery-</w:t>
      </w:r>
      <w:r w:rsidRPr="00C86207">
        <w:rPr>
          <w:rFonts w:cs="Arial"/>
          <w:color w:val="000000"/>
        </w:rPr>
        <w:t>related matters will be similar for the majority of emergency events, significant or traumatic events such as terrorist acts or active shooter incidents may add extra complexity to normal recovery procedures.</w:t>
      </w:r>
    </w:p>
    <w:p w:rsidR="00C86207" w:rsidRPr="00C86207" w:rsidRDefault="00C86207" w:rsidP="00C86207">
      <w:pPr>
        <w:autoSpaceDE w:val="0"/>
        <w:autoSpaceDN w:val="0"/>
        <w:adjustRightInd w:val="0"/>
        <w:spacing w:before="240"/>
        <w:rPr>
          <w:rFonts w:cs="Arial"/>
          <w:color w:val="000000"/>
        </w:rPr>
      </w:pPr>
      <w:r w:rsidRPr="00C86207">
        <w:rPr>
          <w:rFonts w:cs="Arial"/>
          <w:color w:val="000000"/>
        </w:rPr>
        <w:t>Key recovery considerations following an active</w:t>
      </w:r>
      <w:r>
        <w:rPr>
          <w:rFonts w:cs="Arial"/>
          <w:color w:val="000000"/>
        </w:rPr>
        <w:t xml:space="preserve"> </w:t>
      </w:r>
      <w:r w:rsidRPr="00C86207">
        <w:rPr>
          <w:rFonts w:cs="Arial"/>
          <w:color w:val="000000"/>
        </w:rPr>
        <w:t>shooter incident may include:</w:t>
      </w:r>
    </w:p>
    <w:p w:rsidR="00C86207" w:rsidRPr="00C86207" w:rsidRDefault="00C86207" w:rsidP="00C86207">
      <w:pPr>
        <w:pStyle w:val="ListParagraph"/>
        <w:numPr>
          <w:ilvl w:val="0"/>
          <w:numId w:val="13"/>
        </w:numPr>
        <w:autoSpaceDE w:val="0"/>
        <w:autoSpaceDN w:val="0"/>
        <w:adjustRightInd w:val="0"/>
        <w:spacing w:before="240"/>
        <w:rPr>
          <w:rFonts w:cs="Arial"/>
          <w:color w:val="000000"/>
        </w:rPr>
      </w:pPr>
      <w:r w:rsidRPr="00C86207">
        <w:rPr>
          <w:rFonts w:cs="Arial"/>
          <w:color w:val="000000"/>
        </w:rPr>
        <w:t>public information and community confidence</w:t>
      </w:r>
    </w:p>
    <w:p w:rsidR="00C86207" w:rsidRPr="00C86207" w:rsidRDefault="00C86207" w:rsidP="00C86207">
      <w:pPr>
        <w:pStyle w:val="ListParagraph"/>
        <w:numPr>
          <w:ilvl w:val="0"/>
          <w:numId w:val="13"/>
        </w:numPr>
        <w:autoSpaceDE w:val="0"/>
        <w:autoSpaceDN w:val="0"/>
        <w:adjustRightInd w:val="0"/>
        <w:spacing w:before="240"/>
        <w:rPr>
          <w:rFonts w:cs="Arial"/>
          <w:color w:val="000000"/>
        </w:rPr>
      </w:pPr>
      <w:r w:rsidRPr="00C86207">
        <w:rPr>
          <w:rFonts w:cs="Arial"/>
          <w:color w:val="000000"/>
        </w:rPr>
        <w:t>scene preservation and investigation activities</w:t>
      </w:r>
    </w:p>
    <w:p w:rsidR="00C86207" w:rsidRPr="00C86207" w:rsidRDefault="00C86207" w:rsidP="00C86207">
      <w:pPr>
        <w:pStyle w:val="ListParagraph"/>
        <w:numPr>
          <w:ilvl w:val="0"/>
          <w:numId w:val="13"/>
        </w:numPr>
        <w:autoSpaceDE w:val="0"/>
        <w:autoSpaceDN w:val="0"/>
        <w:adjustRightInd w:val="0"/>
        <w:spacing w:before="240"/>
        <w:rPr>
          <w:rFonts w:cs="Arial"/>
          <w:color w:val="000000"/>
        </w:rPr>
      </w:pPr>
      <w:r w:rsidRPr="00C86207">
        <w:rPr>
          <w:rFonts w:cs="Arial"/>
          <w:color w:val="000000"/>
        </w:rPr>
        <w:t>business continuity challenges</w:t>
      </w:r>
    </w:p>
    <w:p w:rsidR="00C86207" w:rsidRDefault="00C86207" w:rsidP="00C86207">
      <w:pPr>
        <w:pStyle w:val="Heading2"/>
        <w:spacing w:before="240"/>
      </w:pPr>
      <w:bookmarkStart w:id="23" w:name="_Toc435611058"/>
      <w:r>
        <w:t>Public information</w:t>
      </w:r>
      <w:bookmarkEnd w:id="23"/>
    </w:p>
    <w:p w:rsidR="00C86207" w:rsidRDefault="00C86207" w:rsidP="00A244E0">
      <w:pPr>
        <w:autoSpaceDE w:val="0"/>
        <w:autoSpaceDN w:val="0"/>
        <w:adjustRightInd w:val="0"/>
        <w:spacing w:after="240"/>
        <w:rPr>
          <w:rFonts w:cs="Arial"/>
          <w:color w:val="000000"/>
        </w:rPr>
      </w:pPr>
      <w:r w:rsidRPr="00C86207">
        <w:rPr>
          <w:rFonts w:cs="Arial"/>
          <w:color w:val="000000"/>
        </w:rPr>
        <w:t>Media or public information activities must support operational policies and actions. To achieve this, public messaging should be developed in coordination with the relevant operational and media/public relations managers. This is particularly important in situations where an offender has been taken into custody or charged with offences relating to the incident, as issues of sub-</w:t>
      </w:r>
      <w:proofErr w:type="spellStart"/>
      <w:r w:rsidRPr="00C86207">
        <w:rPr>
          <w:rFonts w:cs="Arial"/>
          <w:color w:val="000000"/>
        </w:rPr>
        <w:t>judice</w:t>
      </w:r>
      <w:proofErr w:type="spellEnd"/>
      <w:r w:rsidRPr="00C86207">
        <w:rPr>
          <w:rFonts w:cs="Arial"/>
          <w:color w:val="000000"/>
        </w:rPr>
        <w:t xml:space="preserve"> may arise.</w:t>
      </w:r>
    </w:p>
    <w:p w:rsidR="00C86207" w:rsidRDefault="00C86207" w:rsidP="00A244E0">
      <w:pPr>
        <w:autoSpaceDE w:val="0"/>
        <w:autoSpaceDN w:val="0"/>
        <w:adjustRightInd w:val="0"/>
        <w:spacing w:after="240"/>
        <w:rPr>
          <w:rFonts w:cs="Arial"/>
          <w:color w:val="000000"/>
        </w:rPr>
      </w:pPr>
      <w:r w:rsidRPr="00C86207">
        <w:rPr>
          <w:rFonts w:cs="Arial"/>
          <w:color w:val="000000"/>
        </w:rPr>
        <w:t xml:space="preserve"> Information should be provided regularly to keep the public informed and should only be restricted in the interests of safety and/ or operational security. Information issues relating to consequence management, such as providing assistance to victims, should be clearly identified as separate from the actual incident or security issue.</w:t>
      </w:r>
      <w:r w:rsidR="00A244E0">
        <w:rPr>
          <w:rFonts w:cs="Arial"/>
          <w:color w:val="000000"/>
        </w:rPr>
        <w:t xml:space="preserve"> </w:t>
      </w:r>
      <w:r w:rsidRPr="00C86207">
        <w:rPr>
          <w:rFonts w:cs="Arial"/>
          <w:color w:val="000000"/>
        </w:rPr>
        <w:t>As a general rule:</w:t>
      </w:r>
    </w:p>
    <w:p w:rsidR="00A244E0" w:rsidRPr="00A244E0" w:rsidRDefault="00A244E0" w:rsidP="00A244E0">
      <w:pPr>
        <w:pStyle w:val="ListParagraph"/>
        <w:numPr>
          <w:ilvl w:val="0"/>
          <w:numId w:val="14"/>
        </w:numPr>
        <w:autoSpaceDE w:val="0"/>
        <w:autoSpaceDN w:val="0"/>
        <w:adjustRightInd w:val="0"/>
        <w:rPr>
          <w:rFonts w:cs="Arial"/>
          <w:color w:val="000000"/>
        </w:rPr>
      </w:pPr>
      <w:r w:rsidRPr="00A244E0">
        <w:rPr>
          <w:rFonts w:cs="Arial"/>
          <w:color w:val="000000"/>
        </w:rPr>
        <w:t xml:space="preserve">an agency must only release information for which it has responsibility </w:t>
      </w:r>
    </w:p>
    <w:p w:rsidR="00A244E0" w:rsidRDefault="00A244E0" w:rsidP="00A244E0">
      <w:pPr>
        <w:pStyle w:val="ListParagraph"/>
        <w:numPr>
          <w:ilvl w:val="0"/>
          <w:numId w:val="14"/>
        </w:numPr>
        <w:autoSpaceDE w:val="0"/>
        <w:autoSpaceDN w:val="0"/>
        <w:adjustRightInd w:val="0"/>
        <w:rPr>
          <w:rFonts w:cs="Arial"/>
          <w:color w:val="000000"/>
        </w:rPr>
      </w:pPr>
      <w:proofErr w:type="gramStart"/>
      <w:r w:rsidRPr="00A244E0">
        <w:rPr>
          <w:rFonts w:cs="Arial"/>
          <w:color w:val="000000"/>
        </w:rPr>
        <w:t>a</w:t>
      </w:r>
      <w:proofErr w:type="gramEnd"/>
      <w:r w:rsidRPr="00A244E0">
        <w:rPr>
          <w:rFonts w:cs="Arial"/>
          <w:color w:val="000000"/>
        </w:rPr>
        <w:t xml:space="preserve"> log of all public information activities and decisions should be maintained.</w:t>
      </w:r>
    </w:p>
    <w:p w:rsidR="00A244E0" w:rsidRPr="00A244E0" w:rsidRDefault="00A244E0" w:rsidP="00A244E0">
      <w:pPr>
        <w:autoSpaceDE w:val="0"/>
        <w:autoSpaceDN w:val="0"/>
        <w:adjustRightInd w:val="0"/>
        <w:spacing w:before="240"/>
        <w:rPr>
          <w:rFonts w:cs="Arial"/>
          <w:color w:val="000000"/>
        </w:rPr>
      </w:pPr>
      <w:r w:rsidRPr="00A244E0">
        <w:rPr>
          <w:rFonts w:cs="Arial"/>
          <w:color w:val="000000"/>
        </w:rPr>
        <w:t>The National Security Public Information Guidelines provide a framework for the Australian Government and state and territory agencies relating to national security issues and incidents. They are available at</w:t>
      </w:r>
    </w:p>
    <w:p w:rsidR="00A244E0" w:rsidRDefault="00615ABE" w:rsidP="00A244E0">
      <w:pPr>
        <w:autoSpaceDE w:val="0"/>
        <w:autoSpaceDN w:val="0"/>
        <w:adjustRightInd w:val="0"/>
        <w:rPr>
          <w:rFonts w:cs="Arial"/>
          <w:color w:val="000000"/>
        </w:rPr>
      </w:pPr>
      <w:hyperlink r:id="rId18" w:tooltip="National Security website link" w:history="1">
        <w:r w:rsidR="00A244E0" w:rsidRPr="00387254">
          <w:rPr>
            <w:rStyle w:val="Hyperlink"/>
            <w:rFonts w:cs="Arial"/>
          </w:rPr>
          <w:t>www.nationalsecurity.gov.au</w:t>
        </w:r>
      </w:hyperlink>
      <w:r w:rsidR="00A244E0">
        <w:rPr>
          <w:rFonts w:cs="Arial"/>
          <w:color w:val="000000"/>
        </w:rPr>
        <w:t>.</w:t>
      </w:r>
    </w:p>
    <w:p w:rsidR="00A244E0" w:rsidRDefault="00A244E0">
      <w:pPr>
        <w:rPr>
          <w:rFonts w:cs="Arial"/>
          <w:color w:val="000000"/>
        </w:rPr>
      </w:pPr>
      <w:r>
        <w:rPr>
          <w:rFonts w:cs="Arial"/>
          <w:color w:val="000000"/>
        </w:rPr>
        <w:br w:type="page"/>
      </w:r>
    </w:p>
    <w:p w:rsidR="00A244E0" w:rsidRPr="00A244E0" w:rsidRDefault="00A244E0" w:rsidP="00A244E0">
      <w:pPr>
        <w:pStyle w:val="Heading2"/>
        <w:spacing w:before="240"/>
      </w:pPr>
      <w:bookmarkStart w:id="24" w:name="_Toc435611059"/>
      <w:r>
        <w:lastRenderedPageBreak/>
        <w:t>Crime scene and investigation activities</w:t>
      </w:r>
      <w:bookmarkEnd w:id="24"/>
      <w:r>
        <w:t xml:space="preserve"> </w:t>
      </w:r>
    </w:p>
    <w:p w:rsidR="00A244E0" w:rsidRPr="00A244E0" w:rsidRDefault="00A244E0" w:rsidP="00A244E0">
      <w:pPr>
        <w:spacing w:before="240" w:after="240"/>
        <w:rPr>
          <w:rFonts w:cs="Arial"/>
        </w:rPr>
      </w:pPr>
      <w:r w:rsidRPr="00A244E0">
        <w:rPr>
          <w:rFonts w:cs="Arial"/>
        </w:rPr>
        <w:t>Police will conduct some form of major investigation for all active shooter incidents. This could involve criminal and forensic investigations in relation to potential criminal offences (including acts of terrorism), as well as coronial investigations on behalf of the coroner. These investigation processes will need to be extremely thorough and may often be protracted, particularly where the incident has occurred over a broad geographical area, or involves significant forensic challenges.</w:t>
      </w:r>
    </w:p>
    <w:p w:rsidR="00C86207" w:rsidRDefault="00A244E0" w:rsidP="00A244E0">
      <w:pPr>
        <w:spacing w:before="240" w:after="240"/>
        <w:rPr>
          <w:rFonts w:cs="Arial"/>
        </w:rPr>
      </w:pPr>
      <w:r w:rsidRPr="00A244E0">
        <w:rPr>
          <w:rFonts w:cs="Arial"/>
        </w:rPr>
        <w:t>During the investigation phase the police may also seek assistance from management at the location to help identify potential sources of evidence or witnesses. This could include CCTV footage, an</w:t>
      </w:r>
      <w:r>
        <w:rPr>
          <w:rFonts w:cs="Arial"/>
        </w:rPr>
        <w:t>d radio, telephone or decision-</w:t>
      </w:r>
      <w:r w:rsidRPr="00A244E0">
        <w:rPr>
          <w:rFonts w:cs="Arial"/>
        </w:rPr>
        <w:t>making logs. Recovery or business continuity plans should identify a suitable liaison officer that can work with the police to help facilitate</w:t>
      </w:r>
      <w:r>
        <w:rPr>
          <w:rFonts w:cs="Arial"/>
        </w:rPr>
        <w:t xml:space="preserve"> these types of requests.</w:t>
      </w:r>
    </w:p>
    <w:p w:rsidR="00A244E0" w:rsidRDefault="00A244E0" w:rsidP="00A244E0">
      <w:pPr>
        <w:pStyle w:val="Heading2"/>
      </w:pPr>
      <w:bookmarkStart w:id="25" w:name="_Toc435611060"/>
      <w:r>
        <w:t>Business continuity</w:t>
      </w:r>
      <w:bookmarkEnd w:id="25"/>
    </w:p>
    <w:p w:rsidR="00A244E0" w:rsidRDefault="00A244E0" w:rsidP="00A244E0">
      <w:pPr>
        <w:autoSpaceDE w:val="0"/>
        <w:autoSpaceDN w:val="0"/>
        <w:adjustRightInd w:val="0"/>
        <w:spacing w:after="240"/>
        <w:rPr>
          <w:rFonts w:cs="Arial"/>
          <w:color w:val="000000"/>
        </w:rPr>
      </w:pPr>
      <w:r w:rsidRPr="00A244E0">
        <w:rPr>
          <w:rFonts w:cs="Arial"/>
          <w:color w:val="000000"/>
        </w:rPr>
        <w:t xml:space="preserve">How quickly and painlessly owners and operators return to business-as-usual following a terrorist attack or other disaster depends on how effectively they can devise and implement their business continuity management arrangements. </w:t>
      </w:r>
    </w:p>
    <w:p w:rsidR="00C86207" w:rsidRPr="00A244E0" w:rsidRDefault="00A244E0" w:rsidP="00A244E0">
      <w:pPr>
        <w:autoSpaceDE w:val="0"/>
        <w:autoSpaceDN w:val="0"/>
        <w:adjustRightInd w:val="0"/>
        <w:spacing w:after="240"/>
        <w:rPr>
          <w:rFonts w:cs="Arial"/>
          <w:color w:val="000000"/>
        </w:rPr>
      </w:pPr>
      <w:r w:rsidRPr="00A244E0">
        <w:rPr>
          <w:rFonts w:cs="Arial"/>
          <w:color w:val="000000"/>
        </w:rPr>
        <w:t>Through their contact with investigating police, the nominated liaison officer will generally be in a position to obtain information about the likely duration of the scene examination, allowing the venue to start implementing their bu</w:t>
      </w:r>
      <w:r>
        <w:rPr>
          <w:rFonts w:cs="Arial"/>
          <w:color w:val="000000"/>
        </w:rPr>
        <w:t xml:space="preserve">siness continuity arrangements. </w:t>
      </w:r>
      <w:r w:rsidRPr="00A244E0">
        <w:rPr>
          <w:rFonts w:cs="Arial"/>
          <w:color w:val="000000"/>
        </w:rPr>
        <w:t>While the actual process may not change significantly, the amount of time it takes often will.</w:t>
      </w:r>
    </w:p>
    <w:p w:rsidR="00C86207" w:rsidRDefault="00A244E0" w:rsidP="00A244E0">
      <w:pPr>
        <w:pStyle w:val="Heading1"/>
      </w:pPr>
      <w:bookmarkStart w:id="26" w:name="_Toc435611061"/>
      <w:r>
        <w:t>Useful links</w:t>
      </w:r>
      <w:bookmarkEnd w:id="26"/>
    </w:p>
    <w:p w:rsidR="00A244E0" w:rsidRDefault="00A244E0" w:rsidP="00A244E0">
      <w:r>
        <w:t xml:space="preserve">Australian national security: </w:t>
      </w:r>
      <w:hyperlink r:id="rId19" w:tooltip="Australian national security weblink" w:history="1">
        <w:r w:rsidRPr="00387254">
          <w:rPr>
            <w:rStyle w:val="Hyperlink"/>
          </w:rPr>
          <w:t>www.nationalsecurity.gov.au</w:t>
        </w:r>
      </w:hyperlink>
    </w:p>
    <w:p w:rsidR="00A244E0" w:rsidRDefault="00A244E0" w:rsidP="00A244E0">
      <w:r>
        <w:t xml:space="preserve">Australian emergency management: </w:t>
      </w:r>
      <w:hyperlink r:id="rId20" w:tooltip="Australian Emergency Management weblink" w:history="1">
        <w:r w:rsidR="009D67B4">
          <w:rPr>
            <w:rStyle w:val="Hyperlink"/>
          </w:rPr>
          <w:t>http://www.em.gov.au/</w:t>
        </w:r>
      </w:hyperlink>
    </w:p>
    <w:p w:rsidR="00A244E0" w:rsidRDefault="00A244E0" w:rsidP="00A244E0">
      <w:pPr>
        <w:autoSpaceDE w:val="0"/>
        <w:autoSpaceDN w:val="0"/>
        <w:adjustRightInd w:val="0"/>
        <w:rPr>
          <w:rFonts w:cs="Arial"/>
          <w:color w:val="000000"/>
        </w:rPr>
      </w:pPr>
      <w:r w:rsidRPr="00A244E0">
        <w:rPr>
          <w:rFonts w:cs="Arial"/>
          <w:color w:val="000000"/>
        </w:rPr>
        <w:t xml:space="preserve">ASIO Business Liaison Unit: </w:t>
      </w:r>
      <w:hyperlink r:id="rId21" w:tooltip="AISO Business Liaison Unit weblink" w:history="1">
        <w:r w:rsidRPr="009D67B4">
          <w:rPr>
            <w:rStyle w:val="Hyperlink"/>
            <w:rFonts w:cs="Arial"/>
          </w:rPr>
          <w:t>www.blu.asio.gov.au</w:t>
        </w:r>
      </w:hyperlink>
      <w:r>
        <w:rPr>
          <w:rFonts w:cs="Arial"/>
          <w:color w:val="000000"/>
        </w:rPr>
        <w:t xml:space="preserve"> </w:t>
      </w:r>
    </w:p>
    <w:p w:rsidR="00A244E0" w:rsidRDefault="00A244E0" w:rsidP="00A244E0">
      <w:pPr>
        <w:autoSpaceDE w:val="0"/>
        <w:autoSpaceDN w:val="0"/>
        <w:adjustRightInd w:val="0"/>
        <w:rPr>
          <w:rFonts w:cs="Arial"/>
          <w:color w:val="000000"/>
        </w:rPr>
      </w:pPr>
      <w:r w:rsidRPr="00A244E0">
        <w:rPr>
          <w:rFonts w:cs="Arial"/>
          <w:color w:val="000000"/>
        </w:rPr>
        <w:t>Department of Homeland Security (US):</w:t>
      </w:r>
      <w:r>
        <w:rPr>
          <w:rFonts w:cs="Arial"/>
          <w:color w:val="000000"/>
        </w:rPr>
        <w:t xml:space="preserve"> </w:t>
      </w:r>
      <w:hyperlink r:id="rId22" w:tooltip="Department of Homeland Security (US) weblink" w:history="1">
        <w:r w:rsidRPr="00387254">
          <w:rPr>
            <w:rStyle w:val="Hyperlink"/>
            <w:rFonts w:cs="Arial"/>
          </w:rPr>
          <w:t>www.dhs.gov/preventing-terrorism</w:t>
        </w:r>
      </w:hyperlink>
      <w:r>
        <w:rPr>
          <w:rFonts w:cs="Arial"/>
          <w:color w:val="000000"/>
        </w:rPr>
        <w:t xml:space="preserve"> </w:t>
      </w:r>
    </w:p>
    <w:p w:rsidR="00A244E0" w:rsidRDefault="00A244E0" w:rsidP="00A244E0">
      <w:pPr>
        <w:autoSpaceDE w:val="0"/>
        <w:autoSpaceDN w:val="0"/>
        <w:adjustRightInd w:val="0"/>
        <w:rPr>
          <w:rFonts w:cs="Arial"/>
          <w:color w:val="000000"/>
        </w:rPr>
      </w:pPr>
      <w:r w:rsidRPr="00A244E0">
        <w:rPr>
          <w:rFonts w:cs="Arial"/>
          <w:color w:val="000000"/>
        </w:rPr>
        <w:t xml:space="preserve">National Counter Terrorism Security Office (UK): </w:t>
      </w:r>
      <w:hyperlink r:id="rId23" w:tooltip="National Counter Terrorism Security Office (UK) weblink" w:history="1">
        <w:r w:rsidRPr="009D67B4">
          <w:rPr>
            <w:rStyle w:val="Hyperlink"/>
            <w:rFonts w:cs="Arial"/>
          </w:rPr>
          <w:t>www.nactso.gov.uk/publications</w:t>
        </w:r>
      </w:hyperlink>
      <w:r>
        <w:rPr>
          <w:rFonts w:cs="Arial"/>
          <w:color w:val="000000"/>
        </w:rPr>
        <w:t xml:space="preserve"> </w:t>
      </w:r>
    </w:p>
    <w:p w:rsidR="00A244E0" w:rsidRDefault="00A244E0" w:rsidP="00A244E0">
      <w:pPr>
        <w:autoSpaceDE w:val="0"/>
        <w:autoSpaceDN w:val="0"/>
        <w:adjustRightInd w:val="0"/>
        <w:rPr>
          <w:rFonts w:cs="Arial"/>
          <w:color w:val="000000"/>
        </w:rPr>
      </w:pPr>
    </w:p>
    <w:p w:rsidR="00A244E0" w:rsidRPr="00A244E0" w:rsidRDefault="00A244E0" w:rsidP="00A244E0">
      <w:pPr>
        <w:pStyle w:val="Heading1"/>
      </w:pPr>
      <w:bookmarkStart w:id="27" w:name="_Toc435611062"/>
      <w:r w:rsidRPr="00A244E0">
        <w:t>Version control</w:t>
      </w:r>
      <w:bookmarkEnd w:id="27"/>
    </w:p>
    <w:p w:rsidR="00A244E0" w:rsidRPr="00A244E0" w:rsidRDefault="00A244E0" w:rsidP="00A244E0">
      <w:pPr>
        <w:autoSpaceDE w:val="0"/>
        <w:autoSpaceDN w:val="0"/>
        <w:adjustRightInd w:val="0"/>
        <w:rPr>
          <w:rFonts w:cs="Arial"/>
          <w:color w:val="000000"/>
        </w:rPr>
      </w:pPr>
      <w:r w:rsidRPr="00A244E0">
        <w:rPr>
          <w:rFonts w:cs="Arial"/>
          <w:color w:val="000000"/>
        </w:rPr>
        <w:t>This document is endorsed by the Australia-New Zealand National Counter-Terrorism Committee (ANZCTC) and maintained by the National Security Resilience Policy Division (N</w:t>
      </w:r>
      <w:r>
        <w:rPr>
          <w:rFonts w:cs="Arial"/>
          <w:color w:val="000000"/>
        </w:rPr>
        <w:t xml:space="preserve">SRPD) of the Attorney-General’s </w:t>
      </w:r>
      <w:r w:rsidRPr="00A244E0">
        <w:rPr>
          <w:rFonts w:cs="Arial"/>
          <w:color w:val="000000"/>
        </w:rPr>
        <w:t>Department.</w:t>
      </w:r>
      <w:r>
        <w:rPr>
          <w:rFonts w:cs="Arial"/>
          <w:color w:val="000000"/>
        </w:rPr>
        <w:t xml:space="preserve"> </w:t>
      </w:r>
      <w:r w:rsidRPr="00A244E0">
        <w:rPr>
          <w:rFonts w:cs="Arial"/>
          <w:color w:val="000000"/>
        </w:rPr>
        <w:t>The Attorney-General’s Department is responsible</w:t>
      </w:r>
      <w:r>
        <w:rPr>
          <w:rFonts w:cs="Arial"/>
          <w:color w:val="000000"/>
        </w:rPr>
        <w:t xml:space="preserve"> </w:t>
      </w:r>
      <w:r w:rsidRPr="00A244E0">
        <w:rPr>
          <w:rFonts w:cs="Arial"/>
          <w:color w:val="000000"/>
        </w:rPr>
        <w:t>for the version control of this document.</w:t>
      </w:r>
    </w:p>
    <w:p w:rsidR="00A244E0" w:rsidRDefault="00A244E0" w:rsidP="00A244E0">
      <w:pPr>
        <w:autoSpaceDE w:val="0"/>
        <w:autoSpaceDN w:val="0"/>
        <w:adjustRightInd w:val="0"/>
        <w:rPr>
          <w:rFonts w:cs="Arial"/>
          <w:color w:val="000000"/>
        </w:rPr>
      </w:pPr>
      <w:r w:rsidRPr="00A244E0">
        <w:rPr>
          <w:rFonts w:cs="Arial"/>
          <w:color w:val="000000"/>
        </w:rPr>
        <w:t>To preserve the integrity and currency of</w:t>
      </w:r>
      <w:r>
        <w:rPr>
          <w:rFonts w:cs="Arial"/>
          <w:color w:val="000000"/>
        </w:rPr>
        <w:t xml:space="preserve"> </w:t>
      </w:r>
      <w:r w:rsidRPr="00A244E0">
        <w:rPr>
          <w:rFonts w:cs="Arial"/>
          <w:color w:val="000000"/>
        </w:rPr>
        <w:t>this document:</w:t>
      </w:r>
    </w:p>
    <w:p w:rsidR="00A244E0" w:rsidRPr="00A244E0" w:rsidRDefault="00A244E0" w:rsidP="00A244E0">
      <w:pPr>
        <w:autoSpaceDE w:val="0"/>
        <w:autoSpaceDN w:val="0"/>
        <w:adjustRightInd w:val="0"/>
        <w:rPr>
          <w:rFonts w:cs="Arial"/>
          <w:color w:val="000000"/>
        </w:rPr>
      </w:pPr>
    </w:p>
    <w:p w:rsidR="00A244E0" w:rsidRPr="00A244E0" w:rsidRDefault="00A244E0" w:rsidP="00A244E0">
      <w:pPr>
        <w:pStyle w:val="ListParagraph"/>
        <w:numPr>
          <w:ilvl w:val="0"/>
          <w:numId w:val="15"/>
        </w:numPr>
        <w:autoSpaceDE w:val="0"/>
        <w:autoSpaceDN w:val="0"/>
        <w:adjustRightInd w:val="0"/>
        <w:spacing w:after="240" w:line="276" w:lineRule="auto"/>
        <w:rPr>
          <w:rFonts w:cs="Arial"/>
          <w:color w:val="000000"/>
        </w:rPr>
      </w:pPr>
      <w:r w:rsidRPr="00A244E0">
        <w:rPr>
          <w:rFonts w:cs="Arial"/>
          <w:color w:val="000000"/>
        </w:rPr>
        <w:t>major amendments must be endorsed by the ANZCTC</w:t>
      </w:r>
    </w:p>
    <w:p w:rsidR="007742C1" w:rsidRPr="00A244E0" w:rsidRDefault="00A244E0" w:rsidP="00A244E0">
      <w:pPr>
        <w:pStyle w:val="ListParagraph"/>
        <w:numPr>
          <w:ilvl w:val="0"/>
          <w:numId w:val="15"/>
        </w:numPr>
        <w:autoSpaceDE w:val="0"/>
        <w:autoSpaceDN w:val="0"/>
        <w:adjustRightInd w:val="0"/>
        <w:spacing w:after="240" w:line="276" w:lineRule="auto"/>
        <w:rPr>
          <w:rFonts w:cs="Arial"/>
          <w:color w:val="000000"/>
        </w:rPr>
      </w:pPr>
      <w:proofErr w:type="gramStart"/>
      <w:r w:rsidRPr="00A244E0">
        <w:rPr>
          <w:rFonts w:cs="Arial"/>
          <w:color w:val="000000"/>
        </w:rPr>
        <w:t>minor</w:t>
      </w:r>
      <w:proofErr w:type="gramEnd"/>
      <w:r w:rsidRPr="00A244E0">
        <w:rPr>
          <w:rFonts w:cs="Arial"/>
          <w:color w:val="000000"/>
        </w:rPr>
        <w:t xml:space="preserve"> amendments, for example to correct spelling or grammar, should be documented and forwarded to the NSRPD to be implemented and then a revised version sent to the Mass Gatherings Advisory Group</w:t>
      </w:r>
      <w:r>
        <w:rPr>
          <w:rFonts w:cs="Arial"/>
          <w:color w:val="000000"/>
        </w:rPr>
        <w:t xml:space="preserve"> </w:t>
      </w:r>
      <w:r w:rsidRPr="00A244E0">
        <w:rPr>
          <w:rFonts w:cs="Arial"/>
          <w:color w:val="000000"/>
        </w:rPr>
        <w:t>(MGAG) to be endorsed before it is distributed.</w:t>
      </w:r>
    </w:p>
    <w:sectPr w:rsidR="007742C1" w:rsidRPr="00A244E0" w:rsidSect="00B4575F">
      <w:pgSz w:w="11906" w:h="16838" w:code="9"/>
      <w:pgMar w:top="709" w:right="1134" w:bottom="426" w:left="1134"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B4" w:rsidRDefault="009D67B4">
      <w:r>
        <w:separator/>
      </w:r>
    </w:p>
  </w:endnote>
  <w:endnote w:type="continuationSeparator" w:id="0">
    <w:p w:rsidR="009D67B4" w:rsidRDefault="009D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MM_705_600_">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MM_400_600_">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80333"/>
      <w:docPartObj>
        <w:docPartGallery w:val="Page Numbers (Bottom of Page)"/>
        <w:docPartUnique/>
      </w:docPartObj>
    </w:sdtPr>
    <w:sdtEndPr/>
    <w:sdtContent>
      <w:sdt>
        <w:sdtPr>
          <w:id w:val="860082579"/>
          <w:docPartObj>
            <w:docPartGallery w:val="Page Numbers (Top of Page)"/>
            <w:docPartUnique/>
          </w:docPartObj>
        </w:sdtPr>
        <w:sdtEndPr/>
        <w:sdtContent>
          <w:p w:rsidR="009D67B4" w:rsidRDefault="009D67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5AB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5ABE">
              <w:rPr>
                <w:b/>
                <w:bCs/>
                <w:noProof/>
              </w:rPr>
              <w:t>11</w:t>
            </w:r>
            <w:r>
              <w:rPr>
                <w:b/>
                <w:bCs/>
                <w:sz w:val="24"/>
                <w:szCs w:val="24"/>
              </w:rPr>
              <w:fldChar w:fldCharType="end"/>
            </w:r>
          </w:p>
        </w:sdtContent>
      </w:sdt>
    </w:sdtContent>
  </w:sdt>
  <w:p w:rsidR="009D67B4" w:rsidRPr="009D3478" w:rsidRDefault="009D67B4" w:rsidP="00435B55">
    <w:pPr>
      <w:pStyle w:val="Header"/>
      <w:tabs>
        <w:tab w:val="clear" w:pos="4153"/>
        <w:tab w:val="clear" w:pos="8306"/>
        <w:tab w:val="center" w:pos="4819"/>
      </w:tabs>
      <w:rPr>
        <w:color w:val="808080"/>
      </w:rPr>
    </w:pPr>
    <w:r>
      <w:rPr>
        <w:b/>
        <w:noProof/>
        <w:color w:val="808080"/>
      </w:rPr>
      <w:drawing>
        <wp:anchor distT="0" distB="0" distL="114300" distR="114300" simplePos="0" relativeHeight="251657216" behindDoc="1" locked="0" layoutInCell="1" allowOverlap="1" wp14:anchorId="3455E8CA" wp14:editId="5ED06CFD">
          <wp:simplePos x="0" y="0"/>
          <wp:positionH relativeFrom="page">
            <wp:posOffset>251460</wp:posOffset>
          </wp:positionH>
          <wp:positionV relativeFrom="paragraph">
            <wp:posOffset>-1270</wp:posOffset>
          </wp:positionV>
          <wp:extent cx="7239000" cy="161925"/>
          <wp:effectExtent l="0" t="0" r="0" b="9525"/>
          <wp:wrapNone/>
          <wp:docPr id="15" name="Picture 15" descr="Footer design for ANZCTC" title="Footer design for ANZ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870-NCTC-LH-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1925"/>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E64FA4" w:rsidRDefault="009D67B4" w:rsidP="00604EEB">
    <w:pPr>
      <w:pStyle w:val="Header"/>
      <w:jc w:val="right"/>
      <w:rPr>
        <w:color w:val="808080"/>
      </w:rPr>
    </w:pPr>
    <w:r>
      <w:fldChar w:fldCharType="begin"/>
    </w:r>
    <w:r>
      <w:instrText xml:space="preserve"> PAGE   \* MERGEFORMAT </w:instrText>
    </w:r>
    <w:r>
      <w:fldChar w:fldCharType="separate"/>
    </w:r>
    <w:r w:rsidR="00615ABE">
      <w:rPr>
        <w:noProof/>
      </w:rPr>
      <w:t>1</w:t>
    </w:r>
    <w:r>
      <w:rPr>
        <w:noProof/>
      </w:rPr>
      <w:fldChar w:fldCharType="end"/>
    </w:r>
  </w:p>
  <w:p w:rsidR="009D67B4" w:rsidRDefault="009D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B4" w:rsidRDefault="009D67B4">
      <w:r>
        <w:separator/>
      </w:r>
    </w:p>
  </w:footnote>
  <w:footnote w:type="continuationSeparator" w:id="0">
    <w:p w:rsidR="009D67B4" w:rsidRDefault="009D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Default="00615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334" o:spid="_x0000_s2049" type="#_x0000_t136" style="position:absolute;margin-left:0;margin-top:0;width:481.7pt;height:34.4pt;z-index:-251658240;mso-position-horizontal:center;mso-position-horizontal-relative:margin;mso-position-vertical:center;mso-position-vertical-relative:margin" o:allowincell="f" fillcolor="silver" stroked="f">
          <v:textpath style="font-family:&quot;Times New Roman&quot;;font-size:1pt" string="FINAL DRAFT FOR ENDOR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740379" w:rsidRDefault="009D67B4" w:rsidP="009D3478">
    <w:pPr>
      <w:pStyle w:val="Header"/>
      <w:rPr>
        <w:b/>
        <w:color w:val="808080"/>
      </w:rPr>
    </w:pPr>
  </w:p>
  <w:p w:rsidR="009D67B4" w:rsidRDefault="009D67B4" w:rsidP="007403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230"/>
    <w:multiLevelType w:val="hybridMultilevel"/>
    <w:tmpl w:val="D456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4069C"/>
    <w:multiLevelType w:val="hybridMultilevel"/>
    <w:tmpl w:val="A2B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10195B"/>
    <w:multiLevelType w:val="hybridMultilevel"/>
    <w:tmpl w:val="D09EBAC4"/>
    <w:lvl w:ilvl="0" w:tplc="575820AE">
      <w:start w:val="1"/>
      <w:numFmt w:val="bullet"/>
      <w:lvlText w:val=""/>
      <w:lvlJc w:val="left"/>
      <w:pPr>
        <w:tabs>
          <w:tab w:val="num" w:pos="720"/>
        </w:tabs>
        <w:ind w:left="720" w:hanging="360"/>
      </w:pPr>
      <w:rPr>
        <w:rFonts w:ascii="Symbol" w:hAnsi="Symbol" w:hint="default"/>
        <w:color w:val="auto"/>
        <w:sz w:val="18"/>
        <w:szCs w:val="18"/>
      </w:rPr>
    </w:lvl>
    <w:lvl w:ilvl="1" w:tplc="575820AE">
      <w:start w:val="1"/>
      <w:numFmt w:val="bullet"/>
      <w:lvlText w:val=""/>
      <w:lvlJc w:val="left"/>
      <w:pPr>
        <w:tabs>
          <w:tab w:val="num" w:pos="1440"/>
        </w:tabs>
        <w:ind w:left="1440" w:hanging="360"/>
      </w:pPr>
      <w:rPr>
        <w:rFonts w:ascii="Symbol" w:hAnsi="Symbol" w:hint="default"/>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FFB5F72"/>
    <w:multiLevelType w:val="hybridMultilevel"/>
    <w:tmpl w:val="EF24C44E"/>
    <w:lvl w:ilvl="0" w:tplc="FFFFFFFF">
      <w:start w:val="1"/>
      <w:numFmt w:val="decimal"/>
      <w:pStyle w:val="Paranumber"/>
      <w:lvlText w:val="%1."/>
      <w:lvlJc w:val="left"/>
      <w:pPr>
        <w:tabs>
          <w:tab w:val="num" w:pos="360"/>
        </w:tabs>
        <w:ind w:left="360" w:hanging="360"/>
      </w:pPr>
      <w:rPr>
        <w:rFonts w:hint="default"/>
        <w:b w:val="0"/>
        <w:i w:val="0"/>
        <w:sz w:val="20"/>
        <w:szCs w:val="20"/>
      </w:rPr>
    </w:lvl>
    <w:lvl w:ilvl="1" w:tplc="FFFFFFFF">
      <w:start w:val="1"/>
      <w:numFmt w:val="bullet"/>
      <w:lvlText w:val=""/>
      <w:lvlJc w:val="left"/>
      <w:pPr>
        <w:tabs>
          <w:tab w:val="num" w:pos="1298"/>
        </w:tabs>
        <w:ind w:left="1298" w:hanging="360"/>
      </w:pPr>
      <w:rPr>
        <w:rFonts w:ascii="Symbol" w:hAnsi="Symbol" w:hint="default"/>
        <w:b w:val="0"/>
        <w:i w:val="0"/>
        <w:color w:val="auto"/>
        <w:sz w:val="20"/>
        <w:szCs w:val="20"/>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4">
    <w:nsid w:val="398C7A06"/>
    <w:multiLevelType w:val="hybridMultilevel"/>
    <w:tmpl w:val="1B7A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424D89"/>
    <w:multiLevelType w:val="hybridMultilevel"/>
    <w:tmpl w:val="0A2A3D8A"/>
    <w:lvl w:ilvl="0" w:tplc="0C090001">
      <w:start w:val="1"/>
      <w:numFmt w:val="bullet"/>
      <w:lvlText w:val=""/>
      <w:lvlJc w:val="left"/>
      <w:pPr>
        <w:tabs>
          <w:tab w:val="num" w:pos="720"/>
        </w:tabs>
        <w:ind w:left="720" w:hanging="360"/>
      </w:pPr>
      <w:rPr>
        <w:rFonts w:ascii="Symbol" w:hAnsi="Symbol" w:hint="default"/>
      </w:rPr>
    </w:lvl>
    <w:lvl w:ilvl="1" w:tplc="9B24547C">
      <w:start w:val="1"/>
      <w:numFmt w:val="bullet"/>
      <w:pStyle w:val="Updatedo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240637C"/>
    <w:multiLevelType w:val="hybridMultilevel"/>
    <w:tmpl w:val="BBD0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DD473E"/>
    <w:multiLevelType w:val="hybridMultilevel"/>
    <w:tmpl w:val="9014B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987F92"/>
    <w:multiLevelType w:val="hybridMultilevel"/>
    <w:tmpl w:val="9B16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501216"/>
    <w:multiLevelType w:val="hybridMultilevel"/>
    <w:tmpl w:val="2642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642758"/>
    <w:multiLevelType w:val="hybridMultilevel"/>
    <w:tmpl w:val="110A0FDE"/>
    <w:lvl w:ilvl="0" w:tplc="FF0C10C0">
      <w:start w:val="1"/>
      <w:numFmt w:val="bullet"/>
      <w:lvlText w:val="-"/>
      <w:lvlJc w:val="left"/>
      <w:pPr>
        <w:ind w:left="644" w:hanging="360"/>
      </w:pPr>
      <w:rPr>
        <w:rFonts w:ascii="Times New Roman" w:eastAsia="Calibr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6026613C"/>
    <w:multiLevelType w:val="hybridMultilevel"/>
    <w:tmpl w:val="18ACDCD4"/>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43D368F"/>
    <w:multiLevelType w:val="hybridMultilevel"/>
    <w:tmpl w:val="8B42E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D172F9"/>
    <w:multiLevelType w:val="hybridMultilevel"/>
    <w:tmpl w:val="17C4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2F5612"/>
    <w:multiLevelType w:val="hybridMultilevel"/>
    <w:tmpl w:val="5496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10"/>
  </w:num>
  <w:num w:numId="6">
    <w:abstractNumId w:val="1"/>
  </w:num>
  <w:num w:numId="7">
    <w:abstractNumId w:val="9"/>
  </w:num>
  <w:num w:numId="8">
    <w:abstractNumId w:val="8"/>
  </w:num>
  <w:num w:numId="9">
    <w:abstractNumId w:val="12"/>
  </w:num>
  <w:num w:numId="10">
    <w:abstractNumId w:val="7"/>
  </w:num>
  <w:num w:numId="11">
    <w:abstractNumId w:val="0"/>
  </w:num>
  <w:num w:numId="12">
    <w:abstractNumId w:val="14"/>
  </w:num>
  <w:num w:numId="13">
    <w:abstractNumId w:val="13"/>
  </w:num>
  <w:num w:numId="14">
    <w:abstractNumId w:val="6"/>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AD"/>
    <w:rsid w:val="0000013C"/>
    <w:rsid w:val="000007C0"/>
    <w:rsid w:val="0000504E"/>
    <w:rsid w:val="00005B6B"/>
    <w:rsid w:val="00013E42"/>
    <w:rsid w:val="000156D9"/>
    <w:rsid w:val="000170F2"/>
    <w:rsid w:val="00017EF8"/>
    <w:rsid w:val="0002096C"/>
    <w:rsid w:val="00021038"/>
    <w:rsid w:val="000213AF"/>
    <w:rsid w:val="00035555"/>
    <w:rsid w:val="000355A3"/>
    <w:rsid w:val="0003565C"/>
    <w:rsid w:val="000373E8"/>
    <w:rsid w:val="0004323F"/>
    <w:rsid w:val="00046F11"/>
    <w:rsid w:val="00051248"/>
    <w:rsid w:val="00051F47"/>
    <w:rsid w:val="00053619"/>
    <w:rsid w:val="0005554A"/>
    <w:rsid w:val="00057612"/>
    <w:rsid w:val="000579E0"/>
    <w:rsid w:val="00060910"/>
    <w:rsid w:val="000649BD"/>
    <w:rsid w:val="000670DA"/>
    <w:rsid w:val="00067A80"/>
    <w:rsid w:val="0007717B"/>
    <w:rsid w:val="0007764B"/>
    <w:rsid w:val="00083E16"/>
    <w:rsid w:val="00085B14"/>
    <w:rsid w:val="0008615D"/>
    <w:rsid w:val="00086805"/>
    <w:rsid w:val="00087513"/>
    <w:rsid w:val="000878A8"/>
    <w:rsid w:val="0009015F"/>
    <w:rsid w:val="000912EF"/>
    <w:rsid w:val="00092870"/>
    <w:rsid w:val="000935EF"/>
    <w:rsid w:val="0009375C"/>
    <w:rsid w:val="00095B4D"/>
    <w:rsid w:val="00095E3C"/>
    <w:rsid w:val="000A5638"/>
    <w:rsid w:val="000A5B24"/>
    <w:rsid w:val="000A5E90"/>
    <w:rsid w:val="000A79FB"/>
    <w:rsid w:val="000B1A36"/>
    <w:rsid w:val="000B254E"/>
    <w:rsid w:val="000B2809"/>
    <w:rsid w:val="000B46B0"/>
    <w:rsid w:val="000B79A4"/>
    <w:rsid w:val="000C02D5"/>
    <w:rsid w:val="000C047C"/>
    <w:rsid w:val="000C1910"/>
    <w:rsid w:val="000C2330"/>
    <w:rsid w:val="000C4411"/>
    <w:rsid w:val="000D182B"/>
    <w:rsid w:val="000D1D65"/>
    <w:rsid w:val="000D303B"/>
    <w:rsid w:val="000D35B8"/>
    <w:rsid w:val="000D57D9"/>
    <w:rsid w:val="000E0545"/>
    <w:rsid w:val="000E17E4"/>
    <w:rsid w:val="000E1D6B"/>
    <w:rsid w:val="000E2736"/>
    <w:rsid w:val="000E2823"/>
    <w:rsid w:val="000E2F9F"/>
    <w:rsid w:val="000E3775"/>
    <w:rsid w:val="000E3A54"/>
    <w:rsid w:val="000E3E88"/>
    <w:rsid w:val="000E5411"/>
    <w:rsid w:val="000E6B33"/>
    <w:rsid w:val="000F55A8"/>
    <w:rsid w:val="000F573F"/>
    <w:rsid w:val="000F580F"/>
    <w:rsid w:val="000F5B7E"/>
    <w:rsid w:val="000F5C7C"/>
    <w:rsid w:val="000F622D"/>
    <w:rsid w:val="000F69EF"/>
    <w:rsid w:val="000F76B5"/>
    <w:rsid w:val="000F7BF3"/>
    <w:rsid w:val="00100469"/>
    <w:rsid w:val="001033FF"/>
    <w:rsid w:val="00103FF8"/>
    <w:rsid w:val="00105680"/>
    <w:rsid w:val="001058FB"/>
    <w:rsid w:val="00105A6D"/>
    <w:rsid w:val="00107BF0"/>
    <w:rsid w:val="001108FC"/>
    <w:rsid w:val="00111923"/>
    <w:rsid w:val="00111F5D"/>
    <w:rsid w:val="00112DC4"/>
    <w:rsid w:val="00113B28"/>
    <w:rsid w:val="00117687"/>
    <w:rsid w:val="001179D0"/>
    <w:rsid w:val="001216BE"/>
    <w:rsid w:val="00122269"/>
    <w:rsid w:val="00123983"/>
    <w:rsid w:val="00126BEA"/>
    <w:rsid w:val="0013376D"/>
    <w:rsid w:val="00134B22"/>
    <w:rsid w:val="0013578B"/>
    <w:rsid w:val="00137542"/>
    <w:rsid w:val="001465E2"/>
    <w:rsid w:val="00147993"/>
    <w:rsid w:val="001508A5"/>
    <w:rsid w:val="00150CA6"/>
    <w:rsid w:val="00155595"/>
    <w:rsid w:val="001577F0"/>
    <w:rsid w:val="0015781C"/>
    <w:rsid w:val="00160B5F"/>
    <w:rsid w:val="001626DD"/>
    <w:rsid w:val="00162C6F"/>
    <w:rsid w:val="0016372E"/>
    <w:rsid w:val="00163733"/>
    <w:rsid w:val="00163B8F"/>
    <w:rsid w:val="001647C7"/>
    <w:rsid w:val="0016759B"/>
    <w:rsid w:val="00170504"/>
    <w:rsid w:val="00170EE5"/>
    <w:rsid w:val="00173521"/>
    <w:rsid w:val="00173EA0"/>
    <w:rsid w:val="0017509F"/>
    <w:rsid w:val="00177987"/>
    <w:rsid w:val="00177F4A"/>
    <w:rsid w:val="001801D4"/>
    <w:rsid w:val="00181EEE"/>
    <w:rsid w:val="0018411C"/>
    <w:rsid w:val="001844C8"/>
    <w:rsid w:val="00186687"/>
    <w:rsid w:val="00190D75"/>
    <w:rsid w:val="00190FBC"/>
    <w:rsid w:val="001913AF"/>
    <w:rsid w:val="00191451"/>
    <w:rsid w:val="001919CB"/>
    <w:rsid w:val="001926D7"/>
    <w:rsid w:val="001937C4"/>
    <w:rsid w:val="00193D3D"/>
    <w:rsid w:val="00194C64"/>
    <w:rsid w:val="00195054"/>
    <w:rsid w:val="00195370"/>
    <w:rsid w:val="00195828"/>
    <w:rsid w:val="001A0208"/>
    <w:rsid w:val="001A13CB"/>
    <w:rsid w:val="001A26E5"/>
    <w:rsid w:val="001A3339"/>
    <w:rsid w:val="001A471F"/>
    <w:rsid w:val="001A482E"/>
    <w:rsid w:val="001A5D52"/>
    <w:rsid w:val="001A6B41"/>
    <w:rsid w:val="001B1240"/>
    <w:rsid w:val="001B767A"/>
    <w:rsid w:val="001C1D44"/>
    <w:rsid w:val="001C2100"/>
    <w:rsid w:val="001C3242"/>
    <w:rsid w:val="001C43F4"/>
    <w:rsid w:val="001C4A10"/>
    <w:rsid w:val="001C4C06"/>
    <w:rsid w:val="001C64CB"/>
    <w:rsid w:val="001C6D4E"/>
    <w:rsid w:val="001C7BC6"/>
    <w:rsid w:val="001C7ED2"/>
    <w:rsid w:val="001D1010"/>
    <w:rsid w:val="001D1200"/>
    <w:rsid w:val="001E0955"/>
    <w:rsid w:val="001E0AE7"/>
    <w:rsid w:val="001E2585"/>
    <w:rsid w:val="001E5DD3"/>
    <w:rsid w:val="001E71E1"/>
    <w:rsid w:val="001F048E"/>
    <w:rsid w:val="001F0E58"/>
    <w:rsid w:val="001F3567"/>
    <w:rsid w:val="001F3B41"/>
    <w:rsid w:val="001F6B13"/>
    <w:rsid w:val="001F6CE4"/>
    <w:rsid w:val="00201047"/>
    <w:rsid w:val="0020387D"/>
    <w:rsid w:val="002048CC"/>
    <w:rsid w:val="0020510B"/>
    <w:rsid w:val="00206FF1"/>
    <w:rsid w:val="002074F8"/>
    <w:rsid w:val="00210C1B"/>
    <w:rsid w:val="00211BA0"/>
    <w:rsid w:val="00212841"/>
    <w:rsid w:val="00213853"/>
    <w:rsid w:val="002148F5"/>
    <w:rsid w:val="00215F49"/>
    <w:rsid w:val="002160F2"/>
    <w:rsid w:val="00216952"/>
    <w:rsid w:val="00216F43"/>
    <w:rsid w:val="00220EDC"/>
    <w:rsid w:val="00223449"/>
    <w:rsid w:val="00224C37"/>
    <w:rsid w:val="002264D2"/>
    <w:rsid w:val="00226C3D"/>
    <w:rsid w:val="00230450"/>
    <w:rsid w:val="00233320"/>
    <w:rsid w:val="002354FF"/>
    <w:rsid w:val="00235D46"/>
    <w:rsid w:val="00236977"/>
    <w:rsid w:val="00240B52"/>
    <w:rsid w:val="002423A5"/>
    <w:rsid w:val="002446FC"/>
    <w:rsid w:val="00244F70"/>
    <w:rsid w:val="00246581"/>
    <w:rsid w:val="00247428"/>
    <w:rsid w:val="002510B8"/>
    <w:rsid w:val="00251B54"/>
    <w:rsid w:val="00251BB4"/>
    <w:rsid w:val="00252653"/>
    <w:rsid w:val="00253450"/>
    <w:rsid w:val="00255711"/>
    <w:rsid w:val="00257393"/>
    <w:rsid w:val="002651F9"/>
    <w:rsid w:val="00265D69"/>
    <w:rsid w:val="00265DB1"/>
    <w:rsid w:val="0026782D"/>
    <w:rsid w:val="00272301"/>
    <w:rsid w:val="002730A1"/>
    <w:rsid w:val="002733E7"/>
    <w:rsid w:val="002757E6"/>
    <w:rsid w:val="00280DCB"/>
    <w:rsid w:val="00280F31"/>
    <w:rsid w:val="00283588"/>
    <w:rsid w:val="00284360"/>
    <w:rsid w:val="002877A6"/>
    <w:rsid w:val="002902DF"/>
    <w:rsid w:val="00292A7D"/>
    <w:rsid w:val="00292F1C"/>
    <w:rsid w:val="0029308C"/>
    <w:rsid w:val="00293F0F"/>
    <w:rsid w:val="00295E54"/>
    <w:rsid w:val="002967C3"/>
    <w:rsid w:val="00297CD4"/>
    <w:rsid w:val="002A39F6"/>
    <w:rsid w:val="002A402A"/>
    <w:rsid w:val="002A63F6"/>
    <w:rsid w:val="002A66A0"/>
    <w:rsid w:val="002A66F5"/>
    <w:rsid w:val="002A6E34"/>
    <w:rsid w:val="002B1252"/>
    <w:rsid w:val="002B194F"/>
    <w:rsid w:val="002B5DB2"/>
    <w:rsid w:val="002B7B4A"/>
    <w:rsid w:val="002C2F6A"/>
    <w:rsid w:val="002C6738"/>
    <w:rsid w:val="002C6C67"/>
    <w:rsid w:val="002D4DB1"/>
    <w:rsid w:val="002D6C73"/>
    <w:rsid w:val="002E167B"/>
    <w:rsid w:val="002E580D"/>
    <w:rsid w:val="002E64A7"/>
    <w:rsid w:val="002E7353"/>
    <w:rsid w:val="002F0978"/>
    <w:rsid w:val="002F180E"/>
    <w:rsid w:val="002F255A"/>
    <w:rsid w:val="002F2A8D"/>
    <w:rsid w:val="002F378C"/>
    <w:rsid w:val="002F3B16"/>
    <w:rsid w:val="002F67B1"/>
    <w:rsid w:val="002F680A"/>
    <w:rsid w:val="002F69F3"/>
    <w:rsid w:val="002F6C0B"/>
    <w:rsid w:val="002F71C4"/>
    <w:rsid w:val="002F7B62"/>
    <w:rsid w:val="003012AD"/>
    <w:rsid w:val="003016CC"/>
    <w:rsid w:val="00301D89"/>
    <w:rsid w:val="0030623A"/>
    <w:rsid w:val="00306FF7"/>
    <w:rsid w:val="0030702D"/>
    <w:rsid w:val="00310AE9"/>
    <w:rsid w:val="003117E2"/>
    <w:rsid w:val="00312B66"/>
    <w:rsid w:val="00313B9D"/>
    <w:rsid w:val="00315899"/>
    <w:rsid w:val="00315919"/>
    <w:rsid w:val="00315B74"/>
    <w:rsid w:val="00315D57"/>
    <w:rsid w:val="003165F6"/>
    <w:rsid w:val="00317B96"/>
    <w:rsid w:val="0032001E"/>
    <w:rsid w:val="0032016B"/>
    <w:rsid w:val="0032071D"/>
    <w:rsid w:val="0032187E"/>
    <w:rsid w:val="00324BD9"/>
    <w:rsid w:val="0032637F"/>
    <w:rsid w:val="00326913"/>
    <w:rsid w:val="00326C0E"/>
    <w:rsid w:val="00326CBA"/>
    <w:rsid w:val="0033114C"/>
    <w:rsid w:val="00331ABC"/>
    <w:rsid w:val="0033255F"/>
    <w:rsid w:val="00332BB4"/>
    <w:rsid w:val="0033573F"/>
    <w:rsid w:val="00340177"/>
    <w:rsid w:val="00343BA8"/>
    <w:rsid w:val="00345CC1"/>
    <w:rsid w:val="003465C9"/>
    <w:rsid w:val="00346B01"/>
    <w:rsid w:val="0035009C"/>
    <w:rsid w:val="0035039D"/>
    <w:rsid w:val="0035058E"/>
    <w:rsid w:val="00352279"/>
    <w:rsid w:val="003639EC"/>
    <w:rsid w:val="00363B25"/>
    <w:rsid w:val="00366FD1"/>
    <w:rsid w:val="003673DF"/>
    <w:rsid w:val="00371927"/>
    <w:rsid w:val="003730E2"/>
    <w:rsid w:val="00373305"/>
    <w:rsid w:val="0037334A"/>
    <w:rsid w:val="00373EB0"/>
    <w:rsid w:val="00380354"/>
    <w:rsid w:val="0038112A"/>
    <w:rsid w:val="003815B2"/>
    <w:rsid w:val="00382D48"/>
    <w:rsid w:val="00384BE5"/>
    <w:rsid w:val="00386DA4"/>
    <w:rsid w:val="003923E0"/>
    <w:rsid w:val="00393712"/>
    <w:rsid w:val="00394C6E"/>
    <w:rsid w:val="003953C9"/>
    <w:rsid w:val="0039756A"/>
    <w:rsid w:val="00397A79"/>
    <w:rsid w:val="003A0A41"/>
    <w:rsid w:val="003A0A5D"/>
    <w:rsid w:val="003A0D2C"/>
    <w:rsid w:val="003A1DFF"/>
    <w:rsid w:val="003A37B0"/>
    <w:rsid w:val="003A3924"/>
    <w:rsid w:val="003A51B5"/>
    <w:rsid w:val="003A75A4"/>
    <w:rsid w:val="003B410D"/>
    <w:rsid w:val="003B4E02"/>
    <w:rsid w:val="003B50DD"/>
    <w:rsid w:val="003B669E"/>
    <w:rsid w:val="003B71C0"/>
    <w:rsid w:val="003C120D"/>
    <w:rsid w:val="003C37C5"/>
    <w:rsid w:val="003C4EB1"/>
    <w:rsid w:val="003C71D3"/>
    <w:rsid w:val="003C7A0D"/>
    <w:rsid w:val="003C7C73"/>
    <w:rsid w:val="003D1049"/>
    <w:rsid w:val="003D20FA"/>
    <w:rsid w:val="003D2A08"/>
    <w:rsid w:val="003D4BEE"/>
    <w:rsid w:val="003E22BA"/>
    <w:rsid w:val="003E2CE2"/>
    <w:rsid w:val="003E2D8B"/>
    <w:rsid w:val="003E5167"/>
    <w:rsid w:val="003F17BB"/>
    <w:rsid w:val="003F1904"/>
    <w:rsid w:val="003F292C"/>
    <w:rsid w:val="003F3597"/>
    <w:rsid w:val="003F51BD"/>
    <w:rsid w:val="004001AB"/>
    <w:rsid w:val="00403156"/>
    <w:rsid w:val="00405688"/>
    <w:rsid w:val="00407099"/>
    <w:rsid w:val="00407223"/>
    <w:rsid w:val="00407D76"/>
    <w:rsid w:val="00411E79"/>
    <w:rsid w:val="00412500"/>
    <w:rsid w:val="0041279F"/>
    <w:rsid w:val="00417B7A"/>
    <w:rsid w:val="00417BBB"/>
    <w:rsid w:val="00421811"/>
    <w:rsid w:val="0042442E"/>
    <w:rsid w:val="004265A4"/>
    <w:rsid w:val="00426855"/>
    <w:rsid w:val="00430DA8"/>
    <w:rsid w:val="00432DB3"/>
    <w:rsid w:val="0043342C"/>
    <w:rsid w:val="00433B22"/>
    <w:rsid w:val="00434224"/>
    <w:rsid w:val="00435B55"/>
    <w:rsid w:val="00436473"/>
    <w:rsid w:val="00441CC5"/>
    <w:rsid w:val="004429B8"/>
    <w:rsid w:val="00445C05"/>
    <w:rsid w:val="00446996"/>
    <w:rsid w:val="004507A9"/>
    <w:rsid w:val="00450C75"/>
    <w:rsid w:val="00450E5A"/>
    <w:rsid w:val="00451F06"/>
    <w:rsid w:val="00454944"/>
    <w:rsid w:val="00455C26"/>
    <w:rsid w:val="004576CD"/>
    <w:rsid w:val="004609FA"/>
    <w:rsid w:val="004659BE"/>
    <w:rsid w:val="0047053F"/>
    <w:rsid w:val="0047176C"/>
    <w:rsid w:val="00472A5A"/>
    <w:rsid w:val="00472D52"/>
    <w:rsid w:val="00473B59"/>
    <w:rsid w:val="0047432C"/>
    <w:rsid w:val="0047596D"/>
    <w:rsid w:val="00476581"/>
    <w:rsid w:val="00477C6E"/>
    <w:rsid w:val="004805BE"/>
    <w:rsid w:val="0048063A"/>
    <w:rsid w:val="00482185"/>
    <w:rsid w:val="004900CE"/>
    <w:rsid w:val="00490E5C"/>
    <w:rsid w:val="0049313C"/>
    <w:rsid w:val="004A00FE"/>
    <w:rsid w:val="004A4108"/>
    <w:rsid w:val="004A4F35"/>
    <w:rsid w:val="004A63CC"/>
    <w:rsid w:val="004A721B"/>
    <w:rsid w:val="004A73B5"/>
    <w:rsid w:val="004B0790"/>
    <w:rsid w:val="004B1FD3"/>
    <w:rsid w:val="004B40E9"/>
    <w:rsid w:val="004B6059"/>
    <w:rsid w:val="004B6BB0"/>
    <w:rsid w:val="004C3999"/>
    <w:rsid w:val="004C5089"/>
    <w:rsid w:val="004D2854"/>
    <w:rsid w:val="004D3131"/>
    <w:rsid w:val="004D3A25"/>
    <w:rsid w:val="004D6A50"/>
    <w:rsid w:val="004D715B"/>
    <w:rsid w:val="004E0211"/>
    <w:rsid w:val="004E04B8"/>
    <w:rsid w:val="004E1A50"/>
    <w:rsid w:val="004E597B"/>
    <w:rsid w:val="004E6118"/>
    <w:rsid w:val="004E6B85"/>
    <w:rsid w:val="004F2215"/>
    <w:rsid w:val="004F3727"/>
    <w:rsid w:val="004F4805"/>
    <w:rsid w:val="004F528E"/>
    <w:rsid w:val="004F692A"/>
    <w:rsid w:val="005014A8"/>
    <w:rsid w:val="0050168F"/>
    <w:rsid w:val="00501CC7"/>
    <w:rsid w:val="00501E82"/>
    <w:rsid w:val="0050333A"/>
    <w:rsid w:val="00504901"/>
    <w:rsid w:val="00504D6C"/>
    <w:rsid w:val="00506147"/>
    <w:rsid w:val="00506665"/>
    <w:rsid w:val="00507755"/>
    <w:rsid w:val="00511E57"/>
    <w:rsid w:val="00512FBF"/>
    <w:rsid w:val="00523BE4"/>
    <w:rsid w:val="00523FD9"/>
    <w:rsid w:val="00525325"/>
    <w:rsid w:val="00530263"/>
    <w:rsid w:val="00530693"/>
    <w:rsid w:val="0053080A"/>
    <w:rsid w:val="005319C7"/>
    <w:rsid w:val="00531BDD"/>
    <w:rsid w:val="00531F76"/>
    <w:rsid w:val="0053218A"/>
    <w:rsid w:val="0053253B"/>
    <w:rsid w:val="005358BA"/>
    <w:rsid w:val="00536755"/>
    <w:rsid w:val="0053739A"/>
    <w:rsid w:val="005379CC"/>
    <w:rsid w:val="00541C63"/>
    <w:rsid w:val="00543CF6"/>
    <w:rsid w:val="00543F00"/>
    <w:rsid w:val="00546B81"/>
    <w:rsid w:val="0055012B"/>
    <w:rsid w:val="0055041D"/>
    <w:rsid w:val="00550529"/>
    <w:rsid w:val="00552A12"/>
    <w:rsid w:val="00552A16"/>
    <w:rsid w:val="00554BD7"/>
    <w:rsid w:val="00554C77"/>
    <w:rsid w:val="0055728F"/>
    <w:rsid w:val="00561980"/>
    <w:rsid w:val="00561D97"/>
    <w:rsid w:val="0056794A"/>
    <w:rsid w:val="0057121B"/>
    <w:rsid w:val="00571292"/>
    <w:rsid w:val="00572F34"/>
    <w:rsid w:val="0057317D"/>
    <w:rsid w:val="005776C1"/>
    <w:rsid w:val="005776E0"/>
    <w:rsid w:val="00582525"/>
    <w:rsid w:val="005836DA"/>
    <w:rsid w:val="005846B1"/>
    <w:rsid w:val="00584DFD"/>
    <w:rsid w:val="00587410"/>
    <w:rsid w:val="0059015A"/>
    <w:rsid w:val="005902EA"/>
    <w:rsid w:val="00591085"/>
    <w:rsid w:val="00593CC2"/>
    <w:rsid w:val="00595C97"/>
    <w:rsid w:val="0059730B"/>
    <w:rsid w:val="00597A21"/>
    <w:rsid w:val="005A0B1B"/>
    <w:rsid w:val="005A244C"/>
    <w:rsid w:val="005A2C42"/>
    <w:rsid w:val="005A3318"/>
    <w:rsid w:val="005A33F6"/>
    <w:rsid w:val="005A36FB"/>
    <w:rsid w:val="005B0C01"/>
    <w:rsid w:val="005B0CDB"/>
    <w:rsid w:val="005B327E"/>
    <w:rsid w:val="005B3DC2"/>
    <w:rsid w:val="005B44D0"/>
    <w:rsid w:val="005C0F33"/>
    <w:rsid w:val="005C5683"/>
    <w:rsid w:val="005C57C9"/>
    <w:rsid w:val="005C5C49"/>
    <w:rsid w:val="005C6A95"/>
    <w:rsid w:val="005D1128"/>
    <w:rsid w:val="005D15BB"/>
    <w:rsid w:val="005D22F1"/>
    <w:rsid w:val="005D3B85"/>
    <w:rsid w:val="005D4D62"/>
    <w:rsid w:val="005E0FAA"/>
    <w:rsid w:val="005E3A23"/>
    <w:rsid w:val="005E7074"/>
    <w:rsid w:val="005F33FB"/>
    <w:rsid w:val="005F398D"/>
    <w:rsid w:val="005F43E0"/>
    <w:rsid w:val="005F703E"/>
    <w:rsid w:val="00600D5F"/>
    <w:rsid w:val="00601311"/>
    <w:rsid w:val="0060136C"/>
    <w:rsid w:val="006015EB"/>
    <w:rsid w:val="0060285B"/>
    <w:rsid w:val="00604EEB"/>
    <w:rsid w:val="00605D65"/>
    <w:rsid w:val="006062A9"/>
    <w:rsid w:val="0060660E"/>
    <w:rsid w:val="006105A7"/>
    <w:rsid w:val="00611E99"/>
    <w:rsid w:val="00612A36"/>
    <w:rsid w:val="0061329D"/>
    <w:rsid w:val="00615ABE"/>
    <w:rsid w:val="006164FF"/>
    <w:rsid w:val="00624170"/>
    <w:rsid w:val="00625080"/>
    <w:rsid w:val="00625F82"/>
    <w:rsid w:val="00626886"/>
    <w:rsid w:val="006273C0"/>
    <w:rsid w:val="00633233"/>
    <w:rsid w:val="00633405"/>
    <w:rsid w:val="006343F6"/>
    <w:rsid w:val="00634C09"/>
    <w:rsid w:val="006350AD"/>
    <w:rsid w:val="006415A5"/>
    <w:rsid w:val="006423AA"/>
    <w:rsid w:val="00645837"/>
    <w:rsid w:val="00646BD2"/>
    <w:rsid w:val="00646E6F"/>
    <w:rsid w:val="00652D49"/>
    <w:rsid w:val="0065404B"/>
    <w:rsid w:val="006567E7"/>
    <w:rsid w:val="00657A08"/>
    <w:rsid w:val="00657EDD"/>
    <w:rsid w:val="006624AA"/>
    <w:rsid w:val="00662D19"/>
    <w:rsid w:val="00663A6A"/>
    <w:rsid w:val="00664B3B"/>
    <w:rsid w:val="00671605"/>
    <w:rsid w:val="006725CA"/>
    <w:rsid w:val="00674237"/>
    <w:rsid w:val="006750BF"/>
    <w:rsid w:val="0068027E"/>
    <w:rsid w:val="006816C1"/>
    <w:rsid w:val="00683B8B"/>
    <w:rsid w:val="006859BE"/>
    <w:rsid w:val="00686425"/>
    <w:rsid w:val="00686EF2"/>
    <w:rsid w:val="006872DD"/>
    <w:rsid w:val="0068769B"/>
    <w:rsid w:val="0069186C"/>
    <w:rsid w:val="00691C00"/>
    <w:rsid w:val="006922D5"/>
    <w:rsid w:val="00693C61"/>
    <w:rsid w:val="00693E51"/>
    <w:rsid w:val="006947AA"/>
    <w:rsid w:val="0069535C"/>
    <w:rsid w:val="006A0A2E"/>
    <w:rsid w:val="006A210F"/>
    <w:rsid w:val="006B0D5A"/>
    <w:rsid w:val="006B7364"/>
    <w:rsid w:val="006B7DE3"/>
    <w:rsid w:val="006C31BE"/>
    <w:rsid w:val="006C4C9C"/>
    <w:rsid w:val="006C56D0"/>
    <w:rsid w:val="006D1E1D"/>
    <w:rsid w:val="006D3652"/>
    <w:rsid w:val="006D53F0"/>
    <w:rsid w:val="006E30DF"/>
    <w:rsid w:val="006E4443"/>
    <w:rsid w:val="006E50E8"/>
    <w:rsid w:val="006E7A86"/>
    <w:rsid w:val="006E7ABB"/>
    <w:rsid w:val="006F1CBF"/>
    <w:rsid w:val="006F2098"/>
    <w:rsid w:val="006F5C91"/>
    <w:rsid w:val="006F5CCF"/>
    <w:rsid w:val="006F6016"/>
    <w:rsid w:val="0070054D"/>
    <w:rsid w:val="007012DC"/>
    <w:rsid w:val="0070141F"/>
    <w:rsid w:val="00702C72"/>
    <w:rsid w:val="00704205"/>
    <w:rsid w:val="00704312"/>
    <w:rsid w:val="007065F1"/>
    <w:rsid w:val="00713288"/>
    <w:rsid w:val="00717185"/>
    <w:rsid w:val="00720180"/>
    <w:rsid w:val="0072124D"/>
    <w:rsid w:val="00722A32"/>
    <w:rsid w:val="0072343A"/>
    <w:rsid w:val="0072396D"/>
    <w:rsid w:val="007267EA"/>
    <w:rsid w:val="00726838"/>
    <w:rsid w:val="007274A9"/>
    <w:rsid w:val="00727604"/>
    <w:rsid w:val="007310B4"/>
    <w:rsid w:val="007310FC"/>
    <w:rsid w:val="0073169A"/>
    <w:rsid w:val="0073302F"/>
    <w:rsid w:val="00734547"/>
    <w:rsid w:val="00734E72"/>
    <w:rsid w:val="00740379"/>
    <w:rsid w:val="00740813"/>
    <w:rsid w:val="007412E6"/>
    <w:rsid w:val="00741864"/>
    <w:rsid w:val="00742A2B"/>
    <w:rsid w:val="00744E82"/>
    <w:rsid w:val="00744F07"/>
    <w:rsid w:val="00750668"/>
    <w:rsid w:val="0075090B"/>
    <w:rsid w:val="00754B16"/>
    <w:rsid w:val="007554AE"/>
    <w:rsid w:val="007600E4"/>
    <w:rsid w:val="00762799"/>
    <w:rsid w:val="007630B1"/>
    <w:rsid w:val="00764666"/>
    <w:rsid w:val="00770DF6"/>
    <w:rsid w:val="0077184A"/>
    <w:rsid w:val="00771FC5"/>
    <w:rsid w:val="007732D8"/>
    <w:rsid w:val="007742C1"/>
    <w:rsid w:val="00781ECF"/>
    <w:rsid w:val="0078438B"/>
    <w:rsid w:val="00787A3B"/>
    <w:rsid w:val="00793D0C"/>
    <w:rsid w:val="007945E2"/>
    <w:rsid w:val="00797294"/>
    <w:rsid w:val="00797D18"/>
    <w:rsid w:val="007A0599"/>
    <w:rsid w:val="007A0E53"/>
    <w:rsid w:val="007A10F4"/>
    <w:rsid w:val="007A3DFF"/>
    <w:rsid w:val="007A5767"/>
    <w:rsid w:val="007A6A90"/>
    <w:rsid w:val="007B06EF"/>
    <w:rsid w:val="007B1CD4"/>
    <w:rsid w:val="007B1EBB"/>
    <w:rsid w:val="007B1ED3"/>
    <w:rsid w:val="007B266E"/>
    <w:rsid w:val="007B58C7"/>
    <w:rsid w:val="007B70E8"/>
    <w:rsid w:val="007C4095"/>
    <w:rsid w:val="007C416E"/>
    <w:rsid w:val="007C5957"/>
    <w:rsid w:val="007C5BA4"/>
    <w:rsid w:val="007C7183"/>
    <w:rsid w:val="007C77B5"/>
    <w:rsid w:val="007C78D4"/>
    <w:rsid w:val="007D19E4"/>
    <w:rsid w:val="007D29ED"/>
    <w:rsid w:val="007D2C45"/>
    <w:rsid w:val="007D56BF"/>
    <w:rsid w:val="007E0CD8"/>
    <w:rsid w:val="007E4E31"/>
    <w:rsid w:val="007E6100"/>
    <w:rsid w:val="007E7F6D"/>
    <w:rsid w:val="007F2C72"/>
    <w:rsid w:val="007F52D0"/>
    <w:rsid w:val="007F774D"/>
    <w:rsid w:val="00800555"/>
    <w:rsid w:val="0080324C"/>
    <w:rsid w:val="00803795"/>
    <w:rsid w:val="00806E06"/>
    <w:rsid w:val="00812491"/>
    <w:rsid w:val="0081262B"/>
    <w:rsid w:val="008163E3"/>
    <w:rsid w:val="00820131"/>
    <w:rsid w:val="008215E1"/>
    <w:rsid w:val="008231EC"/>
    <w:rsid w:val="00825881"/>
    <w:rsid w:val="00826719"/>
    <w:rsid w:val="008323AF"/>
    <w:rsid w:val="00833BCE"/>
    <w:rsid w:val="00834DCD"/>
    <w:rsid w:val="00837B4A"/>
    <w:rsid w:val="008449CA"/>
    <w:rsid w:val="00844CF5"/>
    <w:rsid w:val="00847209"/>
    <w:rsid w:val="008508F8"/>
    <w:rsid w:val="00854EA7"/>
    <w:rsid w:val="0085501F"/>
    <w:rsid w:val="008552B7"/>
    <w:rsid w:val="0085625C"/>
    <w:rsid w:val="008579D0"/>
    <w:rsid w:val="00857B36"/>
    <w:rsid w:val="00860F2C"/>
    <w:rsid w:val="00863131"/>
    <w:rsid w:val="008644AB"/>
    <w:rsid w:val="00865BE3"/>
    <w:rsid w:val="0087349F"/>
    <w:rsid w:val="008736F5"/>
    <w:rsid w:val="008738EB"/>
    <w:rsid w:val="00873CB3"/>
    <w:rsid w:val="0087488F"/>
    <w:rsid w:val="0088338D"/>
    <w:rsid w:val="008838D3"/>
    <w:rsid w:val="00883C10"/>
    <w:rsid w:val="00884053"/>
    <w:rsid w:val="00886B14"/>
    <w:rsid w:val="00892FCE"/>
    <w:rsid w:val="0089734D"/>
    <w:rsid w:val="008973C6"/>
    <w:rsid w:val="00897921"/>
    <w:rsid w:val="008A0A73"/>
    <w:rsid w:val="008A1715"/>
    <w:rsid w:val="008A3D37"/>
    <w:rsid w:val="008A552C"/>
    <w:rsid w:val="008A6B80"/>
    <w:rsid w:val="008A7977"/>
    <w:rsid w:val="008B09DA"/>
    <w:rsid w:val="008B24B2"/>
    <w:rsid w:val="008B3A28"/>
    <w:rsid w:val="008B46BB"/>
    <w:rsid w:val="008B4AC0"/>
    <w:rsid w:val="008B606A"/>
    <w:rsid w:val="008B6C2B"/>
    <w:rsid w:val="008B6FBA"/>
    <w:rsid w:val="008B78E2"/>
    <w:rsid w:val="008C00BA"/>
    <w:rsid w:val="008C0C17"/>
    <w:rsid w:val="008C0D73"/>
    <w:rsid w:val="008C1101"/>
    <w:rsid w:val="008C4964"/>
    <w:rsid w:val="008C755A"/>
    <w:rsid w:val="008D10D8"/>
    <w:rsid w:val="008D3207"/>
    <w:rsid w:val="008D4D4E"/>
    <w:rsid w:val="008D70BD"/>
    <w:rsid w:val="008E0E1E"/>
    <w:rsid w:val="008E193F"/>
    <w:rsid w:val="008E3E83"/>
    <w:rsid w:val="008E563B"/>
    <w:rsid w:val="008E5E22"/>
    <w:rsid w:val="008E61B8"/>
    <w:rsid w:val="008E6E5B"/>
    <w:rsid w:val="008F17B5"/>
    <w:rsid w:val="008F1900"/>
    <w:rsid w:val="008F19E4"/>
    <w:rsid w:val="008F2CA2"/>
    <w:rsid w:val="008F63C8"/>
    <w:rsid w:val="008F6661"/>
    <w:rsid w:val="008F7576"/>
    <w:rsid w:val="009035E7"/>
    <w:rsid w:val="009036D7"/>
    <w:rsid w:val="00905880"/>
    <w:rsid w:val="009066F3"/>
    <w:rsid w:val="00906D64"/>
    <w:rsid w:val="00907780"/>
    <w:rsid w:val="009140CE"/>
    <w:rsid w:val="0091411B"/>
    <w:rsid w:val="009162A1"/>
    <w:rsid w:val="00916495"/>
    <w:rsid w:val="00920AA0"/>
    <w:rsid w:val="00920DBC"/>
    <w:rsid w:val="00922A9F"/>
    <w:rsid w:val="00923128"/>
    <w:rsid w:val="009231A5"/>
    <w:rsid w:val="009255F1"/>
    <w:rsid w:val="0092726B"/>
    <w:rsid w:val="0093325D"/>
    <w:rsid w:val="0093640C"/>
    <w:rsid w:val="00941EBC"/>
    <w:rsid w:val="00942617"/>
    <w:rsid w:val="009433DE"/>
    <w:rsid w:val="00944A63"/>
    <w:rsid w:val="00945050"/>
    <w:rsid w:val="00947089"/>
    <w:rsid w:val="00947533"/>
    <w:rsid w:val="00950E7C"/>
    <w:rsid w:val="00957F24"/>
    <w:rsid w:val="00960BBB"/>
    <w:rsid w:val="00962E1A"/>
    <w:rsid w:val="00962E2C"/>
    <w:rsid w:val="00963980"/>
    <w:rsid w:val="00963A31"/>
    <w:rsid w:val="00963FF0"/>
    <w:rsid w:val="009642E3"/>
    <w:rsid w:val="009650D7"/>
    <w:rsid w:val="00967CC9"/>
    <w:rsid w:val="00970495"/>
    <w:rsid w:val="00970601"/>
    <w:rsid w:val="00970B06"/>
    <w:rsid w:val="00971C35"/>
    <w:rsid w:val="00971E49"/>
    <w:rsid w:val="009724D6"/>
    <w:rsid w:val="00977BDA"/>
    <w:rsid w:val="00981498"/>
    <w:rsid w:val="00982CF0"/>
    <w:rsid w:val="009832FA"/>
    <w:rsid w:val="00984E01"/>
    <w:rsid w:val="0099207B"/>
    <w:rsid w:val="00992AF6"/>
    <w:rsid w:val="00993CC9"/>
    <w:rsid w:val="009957DF"/>
    <w:rsid w:val="0099615F"/>
    <w:rsid w:val="00996AFB"/>
    <w:rsid w:val="009A120C"/>
    <w:rsid w:val="009A3329"/>
    <w:rsid w:val="009A363E"/>
    <w:rsid w:val="009A36F4"/>
    <w:rsid w:val="009A4EC1"/>
    <w:rsid w:val="009A7559"/>
    <w:rsid w:val="009B0053"/>
    <w:rsid w:val="009B10D8"/>
    <w:rsid w:val="009B1835"/>
    <w:rsid w:val="009B3F63"/>
    <w:rsid w:val="009B5184"/>
    <w:rsid w:val="009B6AA5"/>
    <w:rsid w:val="009B6AF3"/>
    <w:rsid w:val="009B7E0F"/>
    <w:rsid w:val="009C07B7"/>
    <w:rsid w:val="009C0E80"/>
    <w:rsid w:val="009C43B1"/>
    <w:rsid w:val="009C4544"/>
    <w:rsid w:val="009C6011"/>
    <w:rsid w:val="009C63ED"/>
    <w:rsid w:val="009D06B4"/>
    <w:rsid w:val="009D0B8A"/>
    <w:rsid w:val="009D2E88"/>
    <w:rsid w:val="009D33FD"/>
    <w:rsid w:val="009D3478"/>
    <w:rsid w:val="009D38B4"/>
    <w:rsid w:val="009D523D"/>
    <w:rsid w:val="009D5D44"/>
    <w:rsid w:val="009D5FAA"/>
    <w:rsid w:val="009D67B4"/>
    <w:rsid w:val="009E45B4"/>
    <w:rsid w:val="009E6357"/>
    <w:rsid w:val="009F00BE"/>
    <w:rsid w:val="009F01C9"/>
    <w:rsid w:val="009F0609"/>
    <w:rsid w:val="009F0A08"/>
    <w:rsid w:val="009F164E"/>
    <w:rsid w:val="009F3C45"/>
    <w:rsid w:val="009F4990"/>
    <w:rsid w:val="009F4C7B"/>
    <w:rsid w:val="009F5FDE"/>
    <w:rsid w:val="00A009BC"/>
    <w:rsid w:val="00A0333F"/>
    <w:rsid w:val="00A04290"/>
    <w:rsid w:val="00A045FD"/>
    <w:rsid w:val="00A07BA5"/>
    <w:rsid w:val="00A11FCD"/>
    <w:rsid w:val="00A12842"/>
    <w:rsid w:val="00A12BBD"/>
    <w:rsid w:val="00A13409"/>
    <w:rsid w:val="00A1471E"/>
    <w:rsid w:val="00A14F1E"/>
    <w:rsid w:val="00A15758"/>
    <w:rsid w:val="00A1783D"/>
    <w:rsid w:val="00A2201F"/>
    <w:rsid w:val="00A244E0"/>
    <w:rsid w:val="00A24DE3"/>
    <w:rsid w:val="00A25D49"/>
    <w:rsid w:val="00A26DC6"/>
    <w:rsid w:val="00A27B6E"/>
    <w:rsid w:val="00A30EBC"/>
    <w:rsid w:val="00A316AB"/>
    <w:rsid w:val="00A35825"/>
    <w:rsid w:val="00A37095"/>
    <w:rsid w:val="00A42145"/>
    <w:rsid w:val="00A42790"/>
    <w:rsid w:val="00A44117"/>
    <w:rsid w:val="00A44138"/>
    <w:rsid w:val="00A46441"/>
    <w:rsid w:val="00A52C95"/>
    <w:rsid w:val="00A5470F"/>
    <w:rsid w:val="00A55691"/>
    <w:rsid w:val="00A56454"/>
    <w:rsid w:val="00A5654A"/>
    <w:rsid w:val="00A57576"/>
    <w:rsid w:val="00A623EA"/>
    <w:rsid w:val="00A62664"/>
    <w:rsid w:val="00A64C4D"/>
    <w:rsid w:val="00A65270"/>
    <w:rsid w:val="00A6760E"/>
    <w:rsid w:val="00A70567"/>
    <w:rsid w:val="00A71A14"/>
    <w:rsid w:val="00A77C9D"/>
    <w:rsid w:val="00A77E43"/>
    <w:rsid w:val="00A8234E"/>
    <w:rsid w:val="00A8271E"/>
    <w:rsid w:val="00A82D75"/>
    <w:rsid w:val="00A84581"/>
    <w:rsid w:val="00A85578"/>
    <w:rsid w:val="00A8578A"/>
    <w:rsid w:val="00A86D3A"/>
    <w:rsid w:val="00A871FF"/>
    <w:rsid w:val="00A90681"/>
    <w:rsid w:val="00A91CC9"/>
    <w:rsid w:val="00A93496"/>
    <w:rsid w:val="00A975D0"/>
    <w:rsid w:val="00AA34BF"/>
    <w:rsid w:val="00AA352F"/>
    <w:rsid w:val="00AA4873"/>
    <w:rsid w:val="00AA4ED1"/>
    <w:rsid w:val="00AB57BE"/>
    <w:rsid w:val="00AB6BF3"/>
    <w:rsid w:val="00AC151F"/>
    <w:rsid w:val="00AC19C9"/>
    <w:rsid w:val="00AC3DDC"/>
    <w:rsid w:val="00AC462C"/>
    <w:rsid w:val="00AC4BE3"/>
    <w:rsid w:val="00AD3EEA"/>
    <w:rsid w:val="00AD48B0"/>
    <w:rsid w:val="00AD643C"/>
    <w:rsid w:val="00AD7B61"/>
    <w:rsid w:val="00AE1650"/>
    <w:rsid w:val="00AE26AF"/>
    <w:rsid w:val="00AE2765"/>
    <w:rsid w:val="00AE28FB"/>
    <w:rsid w:val="00AE4196"/>
    <w:rsid w:val="00AE5C81"/>
    <w:rsid w:val="00AE7358"/>
    <w:rsid w:val="00AE7A38"/>
    <w:rsid w:val="00AF2A27"/>
    <w:rsid w:val="00AF5A46"/>
    <w:rsid w:val="00B00452"/>
    <w:rsid w:val="00B0090E"/>
    <w:rsid w:val="00B04561"/>
    <w:rsid w:val="00B0732D"/>
    <w:rsid w:val="00B1222E"/>
    <w:rsid w:val="00B1273E"/>
    <w:rsid w:val="00B130C9"/>
    <w:rsid w:val="00B13FEA"/>
    <w:rsid w:val="00B160A5"/>
    <w:rsid w:val="00B162D9"/>
    <w:rsid w:val="00B174CC"/>
    <w:rsid w:val="00B2028F"/>
    <w:rsid w:val="00B213B8"/>
    <w:rsid w:val="00B24FAE"/>
    <w:rsid w:val="00B253E9"/>
    <w:rsid w:val="00B275E4"/>
    <w:rsid w:val="00B304E3"/>
    <w:rsid w:val="00B30F53"/>
    <w:rsid w:val="00B311C7"/>
    <w:rsid w:val="00B330A1"/>
    <w:rsid w:val="00B342DC"/>
    <w:rsid w:val="00B378F1"/>
    <w:rsid w:val="00B40AB0"/>
    <w:rsid w:val="00B40E44"/>
    <w:rsid w:val="00B41767"/>
    <w:rsid w:val="00B43029"/>
    <w:rsid w:val="00B44424"/>
    <w:rsid w:val="00B44EDF"/>
    <w:rsid w:val="00B4575F"/>
    <w:rsid w:val="00B46D81"/>
    <w:rsid w:val="00B518DD"/>
    <w:rsid w:val="00B51A11"/>
    <w:rsid w:val="00B541E9"/>
    <w:rsid w:val="00B542C3"/>
    <w:rsid w:val="00B5742D"/>
    <w:rsid w:val="00B615B1"/>
    <w:rsid w:val="00B62E54"/>
    <w:rsid w:val="00B64EF5"/>
    <w:rsid w:val="00B6732E"/>
    <w:rsid w:val="00B67A7B"/>
    <w:rsid w:val="00B71831"/>
    <w:rsid w:val="00B728CA"/>
    <w:rsid w:val="00B74171"/>
    <w:rsid w:val="00B74527"/>
    <w:rsid w:val="00B751D6"/>
    <w:rsid w:val="00B76925"/>
    <w:rsid w:val="00B76A55"/>
    <w:rsid w:val="00B8314D"/>
    <w:rsid w:val="00B84CCE"/>
    <w:rsid w:val="00B9075A"/>
    <w:rsid w:val="00B926C3"/>
    <w:rsid w:val="00B93334"/>
    <w:rsid w:val="00B9442B"/>
    <w:rsid w:val="00B951B0"/>
    <w:rsid w:val="00B96829"/>
    <w:rsid w:val="00B96EA1"/>
    <w:rsid w:val="00BA0A35"/>
    <w:rsid w:val="00BA0FD5"/>
    <w:rsid w:val="00BA1035"/>
    <w:rsid w:val="00BA36CC"/>
    <w:rsid w:val="00BA6055"/>
    <w:rsid w:val="00BB160F"/>
    <w:rsid w:val="00BB2179"/>
    <w:rsid w:val="00BB7846"/>
    <w:rsid w:val="00BC2984"/>
    <w:rsid w:val="00BC3029"/>
    <w:rsid w:val="00BC3B45"/>
    <w:rsid w:val="00BC52CE"/>
    <w:rsid w:val="00BC639C"/>
    <w:rsid w:val="00BC6924"/>
    <w:rsid w:val="00BD0024"/>
    <w:rsid w:val="00BD1D4F"/>
    <w:rsid w:val="00BD1F39"/>
    <w:rsid w:val="00BD2C5B"/>
    <w:rsid w:val="00BD3F46"/>
    <w:rsid w:val="00BD5A1E"/>
    <w:rsid w:val="00BD6291"/>
    <w:rsid w:val="00BE2938"/>
    <w:rsid w:val="00BE2E4B"/>
    <w:rsid w:val="00BE56F4"/>
    <w:rsid w:val="00BE5B8B"/>
    <w:rsid w:val="00BE7E0E"/>
    <w:rsid w:val="00BF0080"/>
    <w:rsid w:val="00BF049D"/>
    <w:rsid w:val="00BF05E8"/>
    <w:rsid w:val="00BF25CF"/>
    <w:rsid w:val="00BF29DB"/>
    <w:rsid w:val="00BF2DF7"/>
    <w:rsid w:val="00BF35E6"/>
    <w:rsid w:val="00BF514E"/>
    <w:rsid w:val="00BF681D"/>
    <w:rsid w:val="00BF7540"/>
    <w:rsid w:val="00C00133"/>
    <w:rsid w:val="00C027E7"/>
    <w:rsid w:val="00C0373F"/>
    <w:rsid w:val="00C0379C"/>
    <w:rsid w:val="00C03A4D"/>
    <w:rsid w:val="00C05BD9"/>
    <w:rsid w:val="00C07696"/>
    <w:rsid w:val="00C077BB"/>
    <w:rsid w:val="00C07ED2"/>
    <w:rsid w:val="00C1029A"/>
    <w:rsid w:val="00C12F77"/>
    <w:rsid w:val="00C155F5"/>
    <w:rsid w:val="00C17FE4"/>
    <w:rsid w:val="00C216CE"/>
    <w:rsid w:val="00C244ED"/>
    <w:rsid w:val="00C25EBD"/>
    <w:rsid w:val="00C2644B"/>
    <w:rsid w:val="00C306B4"/>
    <w:rsid w:val="00C310BC"/>
    <w:rsid w:val="00C312A0"/>
    <w:rsid w:val="00C31C86"/>
    <w:rsid w:val="00C34666"/>
    <w:rsid w:val="00C347AB"/>
    <w:rsid w:val="00C3679B"/>
    <w:rsid w:val="00C37D87"/>
    <w:rsid w:val="00C41F85"/>
    <w:rsid w:val="00C444FE"/>
    <w:rsid w:val="00C504D3"/>
    <w:rsid w:val="00C57ACA"/>
    <w:rsid w:val="00C57FC4"/>
    <w:rsid w:val="00C60E10"/>
    <w:rsid w:val="00C61C0D"/>
    <w:rsid w:val="00C621C5"/>
    <w:rsid w:val="00C65646"/>
    <w:rsid w:val="00C71DA9"/>
    <w:rsid w:val="00C7288C"/>
    <w:rsid w:val="00C72CCE"/>
    <w:rsid w:val="00C73CA3"/>
    <w:rsid w:val="00C77EF7"/>
    <w:rsid w:val="00C815EB"/>
    <w:rsid w:val="00C816D2"/>
    <w:rsid w:val="00C81F82"/>
    <w:rsid w:val="00C82AB1"/>
    <w:rsid w:val="00C861D2"/>
    <w:rsid w:val="00C86207"/>
    <w:rsid w:val="00C87C43"/>
    <w:rsid w:val="00C94989"/>
    <w:rsid w:val="00C9638C"/>
    <w:rsid w:val="00CA09DD"/>
    <w:rsid w:val="00CA5971"/>
    <w:rsid w:val="00CA5DCC"/>
    <w:rsid w:val="00CB05A8"/>
    <w:rsid w:val="00CB2841"/>
    <w:rsid w:val="00CB378A"/>
    <w:rsid w:val="00CB6A5F"/>
    <w:rsid w:val="00CC41FE"/>
    <w:rsid w:val="00CC52E9"/>
    <w:rsid w:val="00CC73BD"/>
    <w:rsid w:val="00CD037E"/>
    <w:rsid w:val="00CD0BC9"/>
    <w:rsid w:val="00CD1A85"/>
    <w:rsid w:val="00CD5381"/>
    <w:rsid w:val="00CD6266"/>
    <w:rsid w:val="00CD62D0"/>
    <w:rsid w:val="00CD6913"/>
    <w:rsid w:val="00CD76DC"/>
    <w:rsid w:val="00CD77F1"/>
    <w:rsid w:val="00CE0C76"/>
    <w:rsid w:val="00CE0D98"/>
    <w:rsid w:val="00CE1516"/>
    <w:rsid w:val="00CE3D63"/>
    <w:rsid w:val="00CE51E3"/>
    <w:rsid w:val="00CE51F5"/>
    <w:rsid w:val="00CE6081"/>
    <w:rsid w:val="00CE781B"/>
    <w:rsid w:val="00CF1351"/>
    <w:rsid w:val="00CF688A"/>
    <w:rsid w:val="00D031D6"/>
    <w:rsid w:val="00D03DCF"/>
    <w:rsid w:val="00D0790C"/>
    <w:rsid w:val="00D11D38"/>
    <w:rsid w:val="00D12034"/>
    <w:rsid w:val="00D135CD"/>
    <w:rsid w:val="00D137E4"/>
    <w:rsid w:val="00D17958"/>
    <w:rsid w:val="00D23007"/>
    <w:rsid w:val="00D23426"/>
    <w:rsid w:val="00D27075"/>
    <w:rsid w:val="00D31FA1"/>
    <w:rsid w:val="00D35E58"/>
    <w:rsid w:val="00D40B96"/>
    <w:rsid w:val="00D43335"/>
    <w:rsid w:val="00D439D1"/>
    <w:rsid w:val="00D43A0B"/>
    <w:rsid w:val="00D44715"/>
    <w:rsid w:val="00D47A18"/>
    <w:rsid w:val="00D51F44"/>
    <w:rsid w:val="00D547FA"/>
    <w:rsid w:val="00D55712"/>
    <w:rsid w:val="00D573C3"/>
    <w:rsid w:val="00D57A4D"/>
    <w:rsid w:val="00D62351"/>
    <w:rsid w:val="00D6238D"/>
    <w:rsid w:val="00D64E5E"/>
    <w:rsid w:val="00D7069B"/>
    <w:rsid w:val="00D72706"/>
    <w:rsid w:val="00D733D5"/>
    <w:rsid w:val="00D73CF3"/>
    <w:rsid w:val="00D75788"/>
    <w:rsid w:val="00D80103"/>
    <w:rsid w:val="00D82EB7"/>
    <w:rsid w:val="00D86A3C"/>
    <w:rsid w:val="00D875B8"/>
    <w:rsid w:val="00D976CF"/>
    <w:rsid w:val="00DA0B89"/>
    <w:rsid w:val="00DA1B91"/>
    <w:rsid w:val="00DA2186"/>
    <w:rsid w:val="00DA7E6B"/>
    <w:rsid w:val="00DB34AF"/>
    <w:rsid w:val="00DB3FEE"/>
    <w:rsid w:val="00DB5258"/>
    <w:rsid w:val="00DB6EBD"/>
    <w:rsid w:val="00DC06CB"/>
    <w:rsid w:val="00DC0CD9"/>
    <w:rsid w:val="00DC2284"/>
    <w:rsid w:val="00DC2376"/>
    <w:rsid w:val="00DC38AE"/>
    <w:rsid w:val="00DC3951"/>
    <w:rsid w:val="00DC7116"/>
    <w:rsid w:val="00DC77C7"/>
    <w:rsid w:val="00DD1D33"/>
    <w:rsid w:val="00DD41DA"/>
    <w:rsid w:val="00DD4A92"/>
    <w:rsid w:val="00DD540E"/>
    <w:rsid w:val="00DD77B0"/>
    <w:rsid w:val="00DD78B4"/>
    <w:rsid w:val="00DE0685"/>
    <w:rsid w:val="00DE1177"/>
    <w:rsid w:val="00DE297E"/>
    <w:rsid w:val="00DE2D05"/>
    <w:rsid w:val="00DE7333"/>
    <w:rsid w:val="00DF045E"/>
    <w:rsid w:val="00DF39ED"/>
    <w:rsid w:val="00DF3C97"/>
    <w:rsid w:val="00E01214"/>
    <w:rsid w:val="00E01976"/>
    <w:rsid w:val="00E02027"/>
    <w:rsid w:val="00E029FF"/>
    <w:rsid w:val="00E02C2F"/>
    <w:rsid w:val="00E035CC"/>
    <w:rsid w:val="00E04AB3"/>
    <w:rsid w:val="00E07FF7"/>
    <w:rsid w:val="00E14E11"/>
    <w:rsid w:val="00E1637E"/>
    <w:rsid w:val="00E1756E"/>
    <w:rsid w:val="00E201D0"/>
    <w:rsid w:val="00E20746"/>
    <w:rsid w:val="00E20E60"/>
    <w:rsid w:val="00E22A08"/>
    <w:rsid w:val="00E22EC5"/>
    <w:rsid w:val="00E24443"/>
    <w:rsid w:val="00E25C8B"/>
    <w:rsid w:val="00E32C72"/>
    <w:rsid w:val="00E32D2C"/>
    <w:rsid w:val="00E33289"/>
    <w:rsid w:val="00E34689"/>
    <w:rsid w:val="00E37483"/>
    <w:rsid w:val="00E37FA5"/>
    <w:rsid w:val="00E438E6"/>
    <w:rsid w:val="00E45362"/>
    <w:rsid w:val="00E46173"/>
    <w:rsid w:val="00E50762"/>
    <w:rsid w:val="00E53220"/>
    <w:rsid w:val="00E54F42"/>
    <w:rsid w:val="00E55F45"/>
    <w:rsid w:val="00E623E2"/>
    <w:rsid w:val="00E62FA0"/>
    <w:rsid w:val="00E631B5"/>
    <w:rsid w:val="00E6324A"/>
    <w:rsid w:val="00E64FA4"/>
    <w:rsid w:val="00E74E52"/>
    <w:rsid w:val="00E75838"/>
    <w:rsid w:val="00E80DD5"/>
    <w:rsid w:val="00E816BF"/>
    <w:rsid w:val="00E846F8"/>
    <w:rsid w:val="00E875FB"/>
    <w:rsid w:val="00E90B5C"/>
    <w:rsid w:val="00E94B57"/>
    <w:rsid w:val="00E963E2"/>
    <w:rsid w:val="00E96EF0"/>
    <w:rsid w:val="00E976CC"/>
    <w:rsid w:val="00EA1FFE"/>
    <w:rsid w:val="00EA304C"/>
    <w:rsid w:val="00EA488D"/>
    <w:rsid w:val="00EA7360"/>
    <w:rsid w:val="00EB035A"/>
    <w:rsid w:val="00EB0816"/>
    <w:rsid w:val="00EB3CB3"/>
    <w:rsid w:val="00EB3EA1"/>
    <w:rsid w:val="00EB6474"/>
    <w:rsid w:val="00EB7003"/>
    <w:rsid w:val="00EB7461"/>
    <w:rsid w:val="00EC3665"/>
    <w:rsid w:val="00EC7E9B"/>
    <w:rsid w:val="00ED0D08"/>
    <w:rsid w:val="00ED1E89"/>
    <w:rsid w:val="00ED2347"/>
    <w:rsid w:val="00ED6EE2"/>
    <w:rsid w:val="00EE3E3B"/>
    <w:rsid w:val="00EE3F0D"/>
    <w:rsid w:val="00EE743B"/>
    <w:rsid w:val="00EF01FA"/>
    <w:rsid w:val="00EF02E1"/>
    <w:rsid w:val="00EF176B"/>
    <w:rsid w:val="00EF2F88"/>
    <w:rsid w:val="00EF5669"/>
    <w:rsid w:val="00EF584F"/>
    <w:rsid w:val="00F02748"/>
    <w:rsid w:val="00F02E30"/>
    <w:rsid w:val="00F06928"/>
    <w:rsid w:val="00F138FE"/>
    <w:rsid w:val="00F14886"/>
    <w:rsid w:val="00F15D71"/>
    <w:rsid w:val="00F17CBE"/>
    <w:rsid w:val="00F20C15"/>
    <w:rsid w:val="00F2248A"/>
    <w:rsid w:val="00F23452"/>
    <w:rsid w:val="00F2400E"/>
    <w:rsid w:val="00F2532C"/>
    <w:rsid w:val="00F26132"/>
    <w:rsid w:val="00F27D6B"/>
    <w:rsid w:val="00F32B8F"/>
    <w:rsid w:val="00F330DF"/>
    <w:rsid w:val="00F3437F"/>
    <w:rsid w:val="00F346A2"/>
    <w:rsid w:val="00F34ADB"/>
    <w:rsid w:val="00F354E8"/>
    <w:rsid w:val="00F3663E"/>
    <w:rsid w:val="00F3768D"/>
    <w:rsid w:val="00F4166A"/>
    <w:rsid w:val="00F425CF"/>
    <w:rsid w:val="00F42C0A"/>
    <w:rsid w:val="00F46D4E"/>
    <w:rsid w:val="00F47095"/>
    <w:rsid w:val="00F47BBF"/>
    <w:rsid w:val="00F51253"/>
    <w:rsid w:val="00F534E1"/>
    <w:rsid w:val="00F55FE4"/>
    <w:rsid w:val="00F57220"/>
    <w:rsid w:val="00F57374"/>
    <w:rsid w:val="00F60533"/>
    <w:rsid w:val="00F60E6A"/>
    <w:rsid w:val="00F61FB1"/>
    <w:rsid w:val="00F67CF9"/>
    <w:rsid w:val="00F717AC"/>
    <w:rsid w:val="00F73D7F"/>
    <w:rsid w:val="00F74EBB"/>
    <w:rsid w:val="00F75650"/>
    <w:rsid w:val="00F76763"/>
    <w:rsid w:val="00F81429"/>
    <w:rsid w:val="00F815BD"/>
    <w:rsid w:val="00F81E8C"/>
    <w:rsid w:val="00F82095"/>
    <w:rsid w:val="00F830A6"/>
    <w:rsid w:val="00F841E5"/>
    <w:rsid w:val="00F9159D"/>
    <w:rsid w:val="00F93449"/>
    <w:rsid w:val="00F94D47"/>
    <w:rsid w:val="00FA5756"/>
    <w:rsid w:val="00FB0195"/>
    <w:rsid w:val="00FB0CF7"/>
    <w:rsid w:val="00FB1DFD"/>
    <w:rsid w:val="00FB3901"/>
    <w:rsid w:val="00FB67BD"/>
    <w:rsid w:val="00FB747F"/>
    <w:rsid w:val="00FB7F8B"/>
    <w:rsid w:val="00FC0510"/>
    <w:rsid w:val="00FC4CA6"/>
    <w:rsid w:val="00FC7AA0"/>
    <w:rsid w:val="00FC7CFB"/>
    <w:rsid w:val="00FD1B17"/>
    <w:rsid w:val="00FD21AA"/>
    <w:rsid w:val="00FD21CB"/>
    <w:rsid w:val="00FD2980"/>
    <w:rsid w:val="00FD43E5"/>
    <w:rsid w:val="00FE2087"/>
    <w:rsid w:val="00FF0C3D"/>
    <w:rsid w:val="00FF1B4E"/>
    <w:rsid w:val="00FF4150"/>
    <w:rsid w:val="00FF526C"/>
    <w:rsid w:val="00FF73A6"/>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0333F"/>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Normal"/>
    <w:next w:val="Normal"/>
    <w:qFormat/>
    <w:rsid w:val="001F0E58"/>
    <w:pPr>
      <w:keepNext/>
      <w:outlineLvl w:val="2"/>
    </w:pPr>
    <w:rPr>
      <w:b/>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 w:type="paragraph" w:customStyle="1" w:styleId="Pa2">
    <w:name w:val="Pa2"/>
    <w:basedOn w:val="Default"/>
    <w:next w:val="Default"/>
    <w:uiPriority w:val="99"/>
    <w:rsid w:val="003A0D2C"/>
    <w:pPr>
      <w:spacing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0333F"/>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Normal"/>
    <w:next w:val="Normal"/>
    <w:qFormat/>
    <w:rsid w:val="001F0E58"/>
    <w:pPr>
      <w:keepNext/>
      <w:outlineLvl w:val="2"/>
    </w:pPr>
    <w:rPr>
      <w:b/>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 w:type="paragraph" w:customStyle="1" w:styleId="Pa2">
    <w:name w:val="Pa2"/>
    <w:basedOn w:val="Default"/>
    <w:next w:val="Default"/>
    <w:uiPriority w:val="99"/>
    <w:rsid w:val="003A0D2C"/>
    <w:pPr>
      <w:spacing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67">
      <w:bodyDiv w:val="1"/>
      <w:marLeft w:val="0"/>
      <w:marRight w:val="0"/>
      <w:marTop w:val="0"/>
      <w:marBottom w:val="0"/>
      <w:divBdr>
        <w:top w:val="none" w:sz="0" w:space="0" w:color="auto"/>
        <w:left w:val="none" w:sz="0" w:space="0" w:color="auto"/>
        <w:bottom w:val="none" w:sz="0" w:space="0" w:color="auto"/>
        <w:right w:val="none" w:sz="0" w:space="0" w:color="auto"/>
      </w:divBdr>
    </w:div>
    <w:div w:id="24332316">
      <w:bodyDiv w:val="1"/>
      <w:marLeft w:val="0"/>
      <w:marRight w:val="0"/>
      <w:marTop w:val="0"/>
      <w:marBottom w:val="0"/>
      <w:divBdr>
        <w:top w:val="none" w:sz="0" w:space="0" w:color="auto"/>
        <w:left w:val="none" w:sz="0" w:space="0" w:color="auto"/>
        <w:bottom w:val="none" w:sz="0" w:space="0" w:color="auto"/>
        <w:right w:val="none" w:sz="0" w:space="0" w:color="auto"/>
      </w:divBdr>
    </w:div>
    <w:div w:id="24642252">
      <w:bodyDiv w:val="1"/>
      <w:marLeft w:val="0"/>
      <w:marRight w:val="0"/>
      <w:marTop w:val="0"/>
      <w:marBottom w:val="0"/>
      <w:divBdr>
        <w:top w:val="none" w:sz="0" w:space="0" w:color="auto"/>
        <w:left w:val="none" w:sz="0" w:space="0" w:color="auto"/>
        <w:bottom w:val="none" w:sz="0" w:space="0" w:color="auto"/>
        <w:right w:val="none" w:sz="0" w:space="0" w:color="auto"/>
      </w:divBdr>
      <w:divsChild>
        <w:div w:id="1688016817">
          <w:marLeft w:val="0"/>
          <w:marRight w:val="0"/>
          <w:marTop w:val="0"/>
          <w:marBottom w:val="0"/>
          <w:divBdr>
            <w:top w:val="none" w:sz="0" w:space="0" w:color="auto"/>
            <w:left w:val="none" w:sz="0" w:space="0" w:color="auto"/>
            <w:bottom w:val="none" w:sz="0" w:space="0" w:color="auto"/>
            <w:right w:val="none" w:sz="0" w:space="0" w:color="auto"/>
          </w:divBdr>
          <w:divsChild>
            <w:div w:id="114253756">
              <w:marLeft w:val="0"/>
              <w:marRight w:val="0"/>
              <w:marTop w:val="420"/>
              <w:marBottom w:val="120"/>
              <w:divBdr>
                <w:top w:val="single" w:sz="6" w:space="6" w:color="686F70"/>
                <w:left w:val="single" w:sz="6" w:space="0" w:color="686F70"/>
                <w:bottom w:val="none" w:sz="0" w:space="0" w:color="auto"/>
                <w:right w:val="single" w:sz="6" w:space="0" w:color="686F70"/>
              </w:divBdr>
              <w:divsChild>
                <w:div w:id="449478592">
                  <w:marLeft w:val="0"/>
                  <w:marRight w:val="0"/>
                  <w:marTop w:val="0"/>
                  <w:marBottom w:val="0"/>
                  <w:divBdr>
                    <w:top w:val="none" w:sz="0" w:space="0" w:color="auto"/>
                    <w:left w:val="none" w:sz="0" w:space="0" w:color="auto"/>
                    <w:bottom w:val="none" w:sz="0" w:space="0" w:color="auto"/>
                    <w:right w:val="none" w:sz="0" w:space="0" w:color="auto"/>
                  </w:divBdr>
                  <w:divsChild>
                    <w:div w:id="244464415">
                      <w:marLeft w:val="0"/>
                      <w:marRight w:val="0"/>
                      <w:marTop w:val="0"/>
                      <w:marBottom w:val="0"/>
                      <w:divBdr>
                        <w:top w:val="none" w:sz="0" w:space="0" w:color="auto"/>
                        <w:left w:val="none" w:sz="0" w:space="0" w:color="auto"/>
                        <w:bottom w:val="none" w:sz="0" w:space="0" w:color="auto"/>
                        <w:right w:val="none" w:sz="0" w:space="0" w:color="auto"/>
                      </w:divBdr>
                      <w:divsChild>
                        <w:div w:id="487550437">
                          <w:marLeft w:val="120"/>
                          <w:marRight w:val="0"/>
                          <w:marTop w:val="0"/>
                          <w:marBottom w:val="0"/>
                          <w:divBdr>
                            <w:top w:val="none" w:sz="0" w:space="0" w:color="auto"/>
                            <w:left w:val="none" w:sz="0" w:space="0" w:color="auto"/>
                            <w:bottom w:val="none" w:sz="0" w:space="0" w:color="auto"/>
                            <w:right w:val="none" w:sz="0" w:space="0" w:color="auto"/>
                          </w:divBdr>
                          <w:divsChild>
                            <w:div w:id="771825323">
                              <w:marLeft w:val="0"/>
                              <w:marRight w:val="0"/>
                              <w:marTop w:val="0"/>
                              <w:marBottom w:val="0"/>
                              <w:divBdr>
                                <w:top w:val="none" w:sz="0" w:space="0" w:color="auto"/>
                                <w:left w:val="none" w:sz="0" w:space="0" w:color="auto"/>
                                <w:bottom w:val="none" w:sz="0" w:space="0" w:color="auto"/>
                                <w:right w:val="none" w:sz="0" w:space="0" w:color="auto"/>
                              </w:divBdr>
                              <w:divsChild>
                                <w:div w:id="199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2315">
      <w:bodyDiv w:val="1"/>
      <w:marLeft w:val="0"/>
      <w:marRight w:val="0"/>
      <w:marTop w:val="0"/>
      <w:marBottom w:val="0"/>
      <w:divBdr>
        <w:top w:val="none" w:sz="0" w:space="0" w:color="auto"/>
        <w:left w:val="none" w:sz="0" w:space="0" w:color="auto"/>
        <w:bottom w:val="none" w:sz="0" w:space="0" w:color="auto"/>
        <w:right w:val="none" w:sz="0" w:space="0" w:color="auto"/>
      </w:divBdr>
    </w:div>
    <w:div w:id="111559984">
      <w:bodyDiv w:val="1"/>
      <w:marLeft w:val="0"/>
      <w:marRight w:val="0"/>
      <w:marTop w:val="0"/>
      <w:marBottom w:val="0"/>
      <w:divBdr>
        <w:top w:val="none" w:sz="0" w:space="0" w:color="auto"/>
        <w:left w:val="none" w:sz="0" w:space="0" w:color="auto"/>
        <w:bottom w:val="none" w:sz="0" w:space="0" w:color="auto"/>
        <w:right w:val="none" w:sz="0" w:space="0" w:color="auto"/>
      </w:divBdr>
    </w:div>
    <w:div w:id="240217828">
      <w:bodyDiv w:val="1"/>
      <w:marLeft w:val="0"/>
      <w:marRight w:val="0"/>
      <w:marTop w:val="0"/>
      <w:marBottom w:val="0"/>
      <w:divBdr>
        <w:top w:val="none" w:sz="0" w:space="0" w:color="auto"/>
        <w:left w:val="none" w:sz="0" w:space="0" w:color="auto"/>
        <w:bottom w:val="none" w:sz="0" w:space="0" w:color="auto"/>
        <w:right w:val="none" w:sz="0" w:space="0" w:color="auto"/>
      </w:divBdr>
    </w:div>
    <w:div w:id="429349805">
      <w:bodyDiv w:val="1"/>
      <w:marLeft w:val="0"/>
      <w:marRight w:val="0"/>
      <w:marTop w:val="0"/>
      <w:marBottom w:val="0"/>
      <w:divBdr>
        <w:top w:val="none" w:sz="0" w:space="0" w:color="auto"/>
        <w:left w:val="none" w:sz="0" w:space="0" w:color="auto"/>
        <w:bottom w:val="none" w:sz="0" w:space="0" w:color="auto"/>
        <w:right w:val="none" w:sz="0" w:space="0" w:color="auto"/>
      </w:divBdr>
    </w:div>
    <w:div w:id="532117046">
      <w:bodyDiv w:val="1"/>
      <w:marLeft w:val="0"/>
      <w:marRight w:val="0"/>
      <w:marTop w:val="0"/>
      <w:marBottom w:val="0"/>
      <w:divBdr>
        <w:top w:val="none" w:sz="0" w:space="0" w:color="auto"/>
        <w:left w:val="none" w:sz="0" w:space="0" w:color="auto"/>
        <w:bottom w:val="none" w:sz="0" w:space="0" w:color="auto"/>
        <w:right w:val="none" w:sz="0" w:space="0" w:color="auto"/>
      </w:divBdr>
    </w:div>
    <w:div w:id="551429958">
      <w:bodyDiv w:val="1"/>
      <w:marLeft w:val="0"/>
      <w:marRight w:val="0"/>
      <w:marTop w:val="0"/>
      <w:marBottom w:val="0"/>
      <w:divBdr>
        <w:top w:val="none" w:sz="0" w:space="0" w:color="auto"/>
        <w:left w:val="none" w:sz="0" w:space="0" w:color="auto"/>
        <w:bottom w:val="none" w:sz="0" w:space="0" w:color="auto"/>
        <w:right w:val="none" w:sz="0" w:space="0" w:color="auto"/>
      </w:divBdr>
    </w:div>
    <w:div w:id="652218567">
      <w:bodyDiv w:val="1"/>
      <w:marLeft w:val="0"/>
      <w:marRight w:val="0"/>
      <w:marTop w:val="0"/>
      <w:marBottom w:val="0"/>
      <w:divBdr>
        <w:top w:val="none" w:sz="0" w:space="0" w:color="auto"/>
        <w:left w:val="none" w:sz="0" w:space="0" w:color="auto"/>
        <w:bottom w:val="none" w:sz="0" w:space="0" w:color="auto"/>
        <w:right w:val="none" w:sz="0" w:space="0" w:color="auto"/>
      </w:divBdr>
    </w:div>
    <w:div w:id="811487548">
      <w:bodyDiv w:val="1"/>
      <w:marLeft w:val="0"/>
      <w:marRight w:val="0"/>
      <w:marTop w:val="0"/>
      <w:marBottom w:val="0"/>
      <w:divBdr>
        <w:top w:val="none" w:sz="0" w:space="0" w:color="auto"/>
        <w:left w:val="none" w:sz="0" w:space="0" w:color="auto"/>
        <w:bottom w:val="none" w:sz="0" w:space="0" w:color="auto"/>
        <w:right w:val="none" w:sz="0" w:space="0" w:color="auto"/>
      </w:divBdr>
      <w:divsChild>
        <w:div w:id="1333265019">
          <w:marLeft w:val="0"/>
          <w:marRight w:val="0"/>
          <w:marTop w:val="0"/>
          <w:marBottom w:val="0"/>
          <w:divBdr>
            <w:top w:val="none" w:sz="0" w:space="0" w:color="auto"/>
            <w:left w:val="none" w:sz="0" w:space="0" w:color="auto"/>
            <w:bottom w:val="none" w:sz="0" w:space="0" w:color="auto"/>
            <w:right w:val="none" w:sz="0" w:space="0" w:color="auto"/>
          </w:divBdr>
          <w:divsChild>
            <w:div w:id="273052552">
              <w:marLeft w:val="0"/>
              <w:marRight w:val="0"/>
              <w:marTop w:val="0"/>
              <w:marBottom w:val="0"/>
              <w:divBdr>
                <w:top w:val="none" w:sz="0" w:space="0" w:color="auto"/>
                <w:left w:val="none" w:sz="0" w:space="0" w:color="auto"/>
                <w:bottom w:val="none" w:sz="0" w:space="0" w:color="auto"/>
                <w:right w:val="none" w:sz="0" w:space="0" w:color="auto"/>
              </w:divBdr>
              <w:divsChild>
                <w:div w:id="1725330280">
                  <w:marLeft w:val="0"/>
                  <w:marRight w:val="0"/>
                  <w:marTop w:val="0"/>
                  <w:marBottom w:val="0"/>
                  <w:divBdr>
                    <w:top w:val="none" w:sz="0" w:space="0" w:color="auto"/>
                    <w:left w:val="none" w:sz="0" w:space="0" w:color="auto"/>
                    <w:bottom w:val="none" w:sz="0" w:space="0" w:color="auto"/>
                    <w:right w:val="none" w:sz="0" w:space="0" w:color="auto"/>
                  </w:divBdr>
                  <w:divsChild>
                    <w:div w:id="610942172">
                      <w:marLeft w:val="0"/>
                      <w:marRight w:val="0"/>
                      <w:marTop w:val="0"/>
                      <w:marBottom w:val="0"/>
                      <w:divBdr>
                        <w:top w:val="none" w:sz="0" w:space="0" w:color="auto"/>
                        <w:left w:val="none" w:sz="0" w:space="0" w:color="auto"/>
                        <w:bottom w:val="none" w:sz="0" w:space="0" w:color="auto"/>
                        <w:right w:val="none" w:sz="0" w:space="0" w:color="auto"/>
                      </w:divBdr>
                      <w:divsChild>
                        <w:div w:id="1109740000">
                          <w:marLeft w:val="0"/>
                          <w:marRight w:val="0"/>
                          <w:marTop w:val="0"/>
                          <w:marBottom w:val="0"/>
                          <w:divBdr>
                            <w:top w:val="none" w:sz="0" w:space="0" w:color="auto"/>
                            <w:left w:val="none" w:sz="0" w:space="0" w:color="auto"/>
                            <w:bottom w:val="none" w:sz="0" w:space="0" w:color="auto"/>
                            <w:right w:val="none" w:sz="0" w:space="0" w:color="auto"/>
                          </w:divBdr>
                          <w:divsChild>
                            <w:div w:id="1730154682">
                              <w:marLeft w:val="0"/>
                              <w:marRight w:val="0"/>
                              <w:marTop w:val="0"/>
                              <w:marBottom w:val="0"/>
                              <w:divBdr>
                                <w:top w:val="none" w:sz="0" w:space="0" w:color="auto"/>
                                <w:left w:val="none" w:sz="0" w:space="0" w:color="auto"/>
                                <w:bottom w:val="none" w:sz="0" w:space="0" w:color="auto"/>
                                <w:right w:val="none" w:sz="0" w:space="0" w:color="auto"/>
                              </w:divBdr>
                              <w:divsChild>
                                <w:div w:id="19488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0598">
      <w:bodyDiv w:val="1"/>
      <w:marLeft w:val="0"/>
      <w:marRight w:val="0"/>
      <w:marTop w:val="0"/>
      <w:marBottom w:val="0"/>
      <w:divBdr>
        <w:top w:val="none" w:sz="0" w:space="0" w:color="auto"/>
        <w:left w:val="none" w:sz="0" w:space="0" w:color="auto"/>
        <w:bottom w:val="none" w:sz="0" w:space="0" w:color="auto"/>
        <w:right w:val="none" w:sz="0" w:space="0" w:color="auto"/>
      </w:divBdr>
    </w:div>
    <w:div w:id="861633080">
      <w:bodyDiv w:val="1"/>
      <w:marLeft w:val="0"/>
      <w:marRight w:val="0"/>
      <w:marTop w:val="0"/>
      <w:marBottom w:val="0"/>
      <w:divBdr>
        <w:top w:val="none" w:sz="0" w:space="0" w:color="auto"/>
        <w:left w:val="none" w:sz="0" w:space="0" w:color="auto"/>
        <w:bottom w:val="none" w:sz="0" w:space="0" w:color="auto"/>
        <w:right w:val="none" w:sz="0" w:space="0" w:color="auto"/>
      </w:divBdr>
      <w:divsChild>
        <w:div w:id="533463882">
          <w:marLeft w:val="0"/>
          <w:marRight w:val="0"/>
          <w:marTop w:val="0"/>
          <w:marBottom w:val="0"/>
          <w:divBdr>
            <w:top w:val="none" w:sz="0" w:space="0" w:color="auto"/>
            <w:left w:val="none" w:sz="0" w:space="0" w:color="auto"/>
            <w:bottom w:val="none" w:sz="0" w:space="0" w:color="auto"/>
            <w:right w:val="none" w:sz="0" w:space="0" w:color="auto"/>
          </w:divBdr>
          <w:divsChild>
            <w:div w:id="707678158">
              <w:marLeft w:val="0"/>
              <w:marRight w:val="0"/>
              <w:marTop w:val="420"/>
              <w:marBottom w:val="120"/>
              <w:divBdr>
                <w:top w:val="single" w:sz="6" w:space="6" w:color="686F70"/>
                <w:left w:val="single" w:sz="6" w:space="0" w:color="686F70"/>
                <w:bottom w:val="none" w:sz="0" w:space="0" w:color="auto"/>
                <w:right w:val="single" w:sz="6" w:space="0" w:color="686F70"/>
              </w:divBdr>
              <w:divsChild>
                <w:div w:id="1095973940">
                  <w:marLeft w:val="0"/>
                  <w:marRight w:val="0"/>
                  <w:marTop w:val="0"/>
                  <w:marBottom w:val="0"/>
                  <w:divBdr>
                    <w:top w:val="none" w:sz="0" w:space="0" w:color="auto"/>
                    <w:left w:val="none" w:sz="0" w:space="0" w:color="auto"/>
                    <w:bottom w:val="none" w:sz="0" w:space="0" w:color="auto"/>
                    <w:right w:val="none" w:sz="0" w:space="0" w:color="auto"/>
                  </w:divBdr>
                  <w:divsChild>
                    <w:div w:id="1404061416">
                      <w:marLeft w:val="0"/>
                      <w:marRight w:val="0"/>
                      <w:marTop w:val="0"/>
                      <w:marBottom w:val="0"/>
                      <w:divBdr>
                        <w:top w:val="none" w:sz="0" w:space="0" w:color="auto"/>
                        <w:left w:val="none" w:sz="0" w:space="0" w:color="auto"/>
                        <w:bottom w:val="none" w:sz="0" w:space="0" w:color="auto"/>
                        <w:right w:val="none" w:sz="0" w:space="0" w:color="auto"/>
                      </w:divBdr>
                      <w:divsChild>
                        <w:div w:id="385375874">
                          <w:marLeft w:val="120"/>
                          <w:marRight w:val="0"/>
                          <w:marTop w:val="0"/>
                          <w:marBottom w:val="0"/>
                          <w:divBdr>
                            <w:top w:val="none" w:sz="0" w:space="0" w:color="auto"/>
                            <w:left w:val="none" w:sz="0" w:space="0" w:color="auto"/>
                            <w:bottom w:val="none" w:sz="0" w:space="0" w:color="auto"/>
                            <w:right w:val="none" w:sz="0" w:space="0" w:color="auto"/>
                          </w:divBdr>
                          <w:divsChild>
                            <w:div w:id="884178199">
                              <w:marLeft w:val="0"/>
                              <w:marRight w:val="0"/>
                              <w:marTop w:val="0"/>
                              <w:marBottom w:val="0"/>
                              <w:divBdr>
                                <w:top w:val="none" w:sz="0" w:space="0" w:color="auto"/>
                                <w:left w:val="none" w:sz="0" w:space="0" w:color="auto"/>
                                <w:bottom w:val="none" w:sz="0" w:space="0" w:color="auto"/>
                                <w:right w:val="none" w:sz="0" w:space="0" w:color="auto"/>
                              </w:divBdr>
                              <w:divsChild>
                                <w:div w:id="2806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4731">
      <w:bodyDiv w:val="1"/>
      <w:marLeft w:val="0"/>
      <w:marRight w:val="0"/>
      <w:marTop w:val="0"/>
      <w:marBottom w:val="0"/>
      <w:divBdr>
        <w:top w:val="none" w:sz="0" w:space="0" w:color="auto"/>
        <w:left w:val="none" w:sz="0" w:space="0" w:color="auto"/>
        <w:bottom w:val="none" w:sz="0" w:space="0" w:color="auto"/>
        <w:right w:val="none" w:sz="0" w:space="0" w:color="auto"/>
      </w:divBdr>
    </w:div>
    <w:div w:id="912667197">
      <w:bodyDiv w:val="1"/>
      <w:marLeft w:val="0"/>
      <w:marRight w:val="0"/>
      <w:marTop w:val="0"/>
      <w:marBottom w:val="0"/>
      <w:divBdr>
        <w:top w:val="none" w:sz="0" w:space="0" w:color="auto"/>
        <w:left w:val="none" w:sz="0" w:space="0" w:color="auto"/>
        <w:bottom w:val="none" w:sz="0" w:space="0" w:color="auto"/>
        <w:right w:val="none" w:sz="0" w:space="0" w:color="auto"/>
      </w:divBdr>
      <w:divsChild>
        <w:div w:id="2099018502">
          <w:marLeft w:val="0"/>
          <w:marRight w:val="0"/>
          <w:marTop w:val="0"/>
          <w:marBottom w:val="0"/>
          <w:divBdr>
            <w:top w:val="none" w:sz="0" w:space="0" w:color="auto"/>
            <w:left w:val="none" w:sz="0" w:space="0" w:color="auto"/>
            <w:bottom w:val="none" w:sz="0" w:space="0" w:color="auto"/>
            <w:right w:val="none" w:sz="0" w:space="0" w:color="auto"/>
          </w:divBdr>
        </w:div>
      </w:divsChild>
    </w:div>
    <w:div w:id="969437028">
      <w:bodyDiv w:val="1"/>
      <w:marLeft w:val="0"/>
      <w:marRight w:val="0"/>
      <w:marTop w:val="0"/>
      <w:marBottom w:val="0"/>
      <w:divBdr>
        <w:top w:val="none" w:sz="0" w:space="0" w:color="auto"/>
        <w:left w:val="none" w:sz="0" w:space="0" w:color="auto"/>
        <w:bottom w:val="none" w:sz="0" w:space="0" w:color="auto"/>
        <w:right w:val="none" w:sz="0" w:space="0" w:color="auto"/>
      </w:divBdr>
    </w:div>
    <w:div w:id="1017469320">
      <w:bodyDiv w:val="1"/>
      <w:marLeft w:val="0"/>
      <w:marRight w:val="0"/>
      <w:marTop w:val="0"/>
      <w:marBottom w:val="0"/>
      <w:divBdr>
        <w:top w:val="none" w:sz="0" w:space="0" w:color="auto"/>
        <w:left w:val="none" w:sz="0" w:space="0" w:color="auto"/>
        <w:bottom w:val="none" w:sz="0" w:space="0" w:color="auto"/>
        <w:right w:val="none" w:sz="0" w:space="0" w:color="auto"/>
      </w:divBdr>
    </w:div>
    <w:div w:id="10452516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693">
          <w:marLeft w:val="0"/>
          <w:marRight w:val="0"/>
          <w:marTop w:val="0"/>
          <w:marBottom w:val="0"/>
          <w:divBdr>
            <w:top w:val="none" w:sz="0" w:space="0" w:color="auto"/>
            <w:left w:val="none" w:sz="0" w:space="0" w:color="auto"/>
            <w:bottom w:val="none" w:sz="0" w:space="0" w:color="auto"/>
            <w:right w:val="none" w:sz="0" w:space="0" w:color="auto"/>
          </w:divBdr>
          <w:divsChild>
            <w:div w:id="223837398">
              <w:marLeft w:val="0"/>
              <w:marRight w:val="0"/>
              <w:marTop w:val="0"/>
              <w:marBottom w:val="0"/>
              <w:divBdr>
                <w:top w:val="none" w:sz="0" w:space="0" w:color="auto"/>
                <w:left w:val="none" w:sz="0" w:space="0" w:color="auto"/>
                <w:bottom w:val="none" w:sz="0" w:space="0" w:color="auto"/>
                <w:right w:val="none" w:sz="0" w:space="0" w:color="auto"/>
              </w:divBdr>
              <w:divsChild>
                <w:div w:id="183251678">
                  <w:marLeft w:val="0"/>
                  <w:marRight w:val="0"/>
                  <w:marTop w:val="0"/>
                  <w:marBottom w:val="0"/>
                  <w:divBdr>
                    <w:top w:val="none" w:sz="0" w:space="0" w:color="auto"/>
                    <w:left w:val="none" w:sz="0" w:space="0" w:color="auto"/>
                    <w:bottom w:val="none" w:sz="0" w:space="0" w:color="auto"/>
                    <w:right w:val="none" w:sz="0" w:space="0" w:color="auto"/>
                  </w:divBdr>
                  <w:divsChild>
                    <w:div w:id="116729352">
                      <w:marLeft w:val="0"/>
                      <w:marRight w:val="0"/>
                      <w:marTop w:val="0"/>
                      <w:marBottom w:val="0"/>
                      <w:divBdr>
                        <w:top w:val="none" w:sz="0" w:space="0" w:color="auto"/>
                        <w:left w:val="none" w:sz="0" w:space="0" w:color="auto"/>
                        <w:bottom w:val="none" w:sz="0" w:space="0" w:color="auto"/>
                        <w:right w:val="none" w:sz="0" w:space="0" w:color="auto"/>
                      </w:divBdr>
                      <w:divsChild>
                        <w:div w:id="1165247640">
                          <w:marLeft w:val="0"/>
                          <w:marRight w:val="0"/>
                          <w:marTop w:val="0"/>
                          <w:marBottom w:val="0"/>
                          <w:divBdr>
                            <w:top w:val="none" w:sz="0" w:space="0" w:color="auto"/>
                            <w:left w:val="none" w:sz="0" w:space="0" w:color="auto"/>
                            <w:bottom w:val="none" w:sz="0" w:space="0" w:color="auto"/>
                            <w:right w:val="none" w:sz="0" w:space="0" w:color="auto"/>
                          </w:divBdr>
                          <w:divsChild>
                            <w:div w:id="1528836421">
                              <w:marLeft w:val="0"/>
                              <w:marRight w:val="0"/>
                              <w:marTop w:val="0"/>
                              <w:marBottom w:val="0"/>
                              <w:divBdr>
                                <w:top w:val="none" w:sz="0" w:space="0" w:color="auto"/>
                                <w:left w:val="none" w:sz="0" w:space="0" w:color="auto"/>
                                <w:bottom w:val="none" w:sz="0" w:space="0" w:color="auto"/>
                                <w:right w:val="none" w:sz="0" w:space="0" w:color="auto"/>
                              </w:divBdr>
                              <w:divsChild>
                                <w:div w:id="1736394042">
                                  <w:marLeft w:val="0"/>
                                  <w:marRight w:val="0"/>
                                  <w:marTop w:val="0"/>
                                  <w:marBottom w:val="0"/>
                                  <w:divBdr>
                                    <w:top w:val="none" w:sz="0" w:space="0" w:color="auto"/>
                                    <w:left w:val="none" w:sz="0" w:space="0" w:color="auto"/>
                                    <w:bottom w:val="none" w:sz="0" w:space="0" w:color="auto"/>
                                    <w:right w:val="none" w:sz="0" w:space="0" w:color="auto"/>
                                  </w:divBdr>
                                </w:div>
                                <w:div w:id="1958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67776">
      <w:bodyDiv w:val="1"/>
      <w:marLeft w:val="0"/>
      <w:marRight w:val="0"/>
      <w:marTop w:val="0"/>
      <w:marBottom w:val="0"/>
      <w:divBdr>
        <w:top w:val="none" w:sz="0" w:space="0" w:color="auto"/>
        <w:left w:val="none" w:sz="0" w:space="0" w:color="auto"/>
        <w:bottom w:val="none" w:sz="0" w:space="0" w:color="auto"/>
        <w:right w:val="none" w:sz="0" w:space="0" w:color="auto"/>
      </w:divBdr>
    </w:div>
    <w:div w:id="1254240733">
      <w:bodyDiv w:val="1"/>
      <w:marLeft w:val="0"/>
      <w:marRight w:val="0"/>
      <w:marTop w:val="0"/>
      <w:marBottom w:val="0"/>
      <w:divBdr>
        <w:top w:val="none" w:sz="0" w:space="0" w:color="auto"/>
        <w:left w:val="none" w:sz="0" w:space="0" w:color="auto"/>
        <w:bottom w:val="none" w:sz="0" w:space="0" w:color="auto"/>
        <w:right w:val="none" w:sz="0" w:space="0" w:color="auto"/>
      </w:divBdr>
      <w:divsChild>
        <w:div w:id="627049157">
          <w:marLeft w:val="0"/>
          <w:marRight w:val="0"/>
          <w:marTop w:val="0"/>
          <w:marBottom w:val="0"/>
          <w:divBdr>
            <w:top w:val="none" w:sz="0" w:space="0" w:color="auto"/>
            <w:left w:val="none" w:sz="0" w:space="0" w:color="auto"/>
            <w:bottom w:val="none" w:sz="0" w:space="0" w:color="auto"/>
            <w:right w:val="none" w:sz="0" w:space="0" w:color="auto"/>
          </w:divBdr>
          <w:divsChild>
            <w:div w:id="1824733492">
              <w:marLeft w:val="0"/>
              <w:marRight w:val="0"/>
              <w:marTop w:val="0"/>
              <w:marBottom w:val="0"/>
              <w:divBdr>
                <w:top w:val="none" w:sz="0" w:space="0" w:color="auto"/>
                <w:left w:val="none" w:sz="0" w:space="0" w:color="auto"/>
                <w:bottom w:val="none" w:sz="0" w:space="0" w:color="auto"/>
                <w:right w:val="none" w:sz="0" w:space="0" w:color="auto"/>
              </w:divBdr>
              <w:divsChild>
                <w:div w:id="741876091">
                  <w:marLeft w:val="0"/>
                  <w:marRight w:val="0"/>
                  <w:marTop w:val="0"/>
                  <w:marBottom w:val="0"/>
                  <w:divBdr>
                    <w:top w:val="none" w:sz="0" w:space="0" w:color="auto"/>
                    <w:left w:val="none" w:sz="0" w:space="0" w:color="auto"/>
                    <w:bottom w:val="none" w:sz="0" w:space="0" w:color="auto"/>
                    <w:right w:val="none" w:sz="0" w:space="0" w:color="auto"/>
                  </w:divBdr>
                  <w:divsChild>
                    <w:div w:id="981883481">
                      <w:marLeft w:val="0"/>
                      <w:marRight w:val="0"/>
                      <w:marTop w:val="0"/>
                      <w:marBottom w:val="0"/>
                      <w:divBdr>
                        <w:top w:val="none" w:sz="0" w:space="0" w:color="auto"/>
                        <w:left w:val="none" w:sz="0" w:space="0" w:color="auto"/>
                        <w:bottom w:val="none" w:sz="0" w:space="0" w:color="auto"/>
                        <w:right w:val="none" w:sz="0" w:space="0" w:color="auto"/>
                      </w:divBdr>
                      <w:divsChild>
                        <w:div w:id="304433932">
                          <w:marLeft w:val="0"/>
                          <w:marRight w:val="0"/>
                          <w:marTop w:val="0"/>
                          <w:marBottom w:val="0"/>
                          <w:divBdr>
                            <w:top w:val="none" w:sz="0" w:space="0" w:color="auto"/>
                            <w:left w:val="none" w:sz="0" w:space="0" w:color="auto"/>
                            <w:bottom w:val="none" w:sz="0" w:space="0" w:color="auto"/>
                            <w:right w:val="none" w:sz="0" w:space="0" w:color="auto"/>
                          </w:divBdr>
                          <w:divsChild>
                            <w:div w:id="1258516695">
                              <w:marLeft w:val="0"/>
                              <w:marRight w:val="0"/>
                              <w:marTop w:val="0"/>
                              <w:marBottom w:val="0"/>
                              <w:divBdr>
                                <w:top w:val="none" w:sz="0" w:space="0" w:color="auto"/>
                                <w:left w:val="none" w:sz="0" w:space="0" w:color="auto"/>
                                <w:bottom w:val="none" w:sz="0" w:space="0" w:color="auto"/>
                                <w:right w:val="none" w:sz="0" w:space="0" w:color="auto"/>
                              </w:divBdr>
                              <w:divsChild>
                                <w:div w:id="1877543881">
                                  <w:marLeft w:val="0"/>
                                  <w:marRight w:val="0"/>
                                  <w:marTop w:val="0"/>
                                  <w:marBottom w:val="0"/>
                                  <w:divBdr>
                                    <w:top w:val="none" w:sz="0" w:space="0" w:color="auto"/>
                                    <w:left w:val="none" w:sz="0" w:space="0" w:color="auto"/>
                                    <w:bottom w:val="none" w:sz="0" w:space="0" w:color="auto"/>
                                    <w:right w:val="none" w:sz="0" w:space="0" w:color="auto"/>
                                  </w:divBdr>
                                </w:div>
                                <w:div w:id="1924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29029">
      <w:bodyDiv w:val="1"/>
      <w:marLeft w:val="0"/>
      <w:marRight w:val="0"/>
      <w:marTop w:val="0"/>
      <w:marBottom w:val="0"/>
      <w:divBdr>
        <w:top w:val="none" w:sz="0" w:space="0" w:color="auto"/>
        <w:left w:val="none" w:sz="0" w:space="0" w:color="auto"/>
        <w:bottom w:val="none" w:sz="0" w:space="0" w:color="auto"/>
        <w:right w:val="none" w:sz="0" w:space="0" w:color="auto"/>
      </w:divBdr>
    </w:div>
    <w:div w:id="1299605516">
      <w:bodyDiv w:val="1"/>
      <w:marLeft w:val="0"/>
      <w:marRight w:val="0"/>
      <w:marTop w:val="0"/>
      <w:marBottom w:val="0"/>
      <w:divBdr>
        <w:top w:val="none" w:sz="0" w:space="0" w:color="auto"/>
        <w:left w:val="none" w:sz="0" w:space="0" w:color="auto"/>
        <w:bottom w:val="none" w:sz="0" w:space="0" w:color="auto"/>
        <w:right w:val="none" w:sz="0" w:space="0" w:color="auto"/>
      </w:divBdr>
    </w:div>
    <w:div w:id="1324043931">
      <w:bodyDiv w:val="1"/>
      <w:marLeft w:val="0"/>
      <w:marRight w:val="0"/>
      <w:marTop w:val="0"/>
      <w:marBottom w:val="0"/>
      <w:divBdr>
        <w:top w:val="none" w:sz="0" w:space="0" w:color="auto"/>
        <w:left w:val="none" w:sz="0" w:space="0" w:color="auto"/>
        <w:bottom w:val="none" w:sz="0" w:space="0" w:color="auto"/>
        <w:right w:val="none" w:sz="0" w:space="0" w:color="auto"/>
      </w:divBdr>
    </w:div>
    <w:div w:id="1335451670">
      <w:bodyDiv w:val="1"/>
      <w:marLeft w:val="0"/>
      <w:marRight w:val="0"/>
      <w:marTop w:val="0"/>
      <w:marBottom w:val="0"/>
      <w:divBdr>
        <w:top w:val="none" w:sz="0" w:space="0" w:color="auto"/>
        <w:left w:val="none" w:sz="0" w:space="0" w:color="auto"/>
        <w:bottom w:val="none" w:sz="0" w:space="0" w:color="auto"/>
        <w:right w:val="none" w:sz="0" w:space="0" w:color="auto"/>
      </w:divBdr>
    </w:div>
    <w:div w:id="1390693297">
      <w:bodyDiv w:val="1"/>
      <w:marLeft w:val="0"/>
      <w:marRight w:val="0"/>
      <w:marTop w:val="0"/>
      <w:marBottom w:val="0"/>
      <w:divBdr>
        <w:top w:val="none" w:sz="0" w:space="0" w:color="auto"/>
        <w:left w:val="none" w:sz="0" w:space="0" w:color="auto"/>
        <w:bottom w:val="none" w:sz="0" w:space="0" w:color="auto"/>
        <w:right w:val="none" w:sz="0" w:space="0" w:color="auto"/>
      </w:divBdr>
    </w:div>
    <w:div w:id="1485973503">
      <w:bodyDiv w:val="1"/>
      <w:marLeft w:val="0"/>
      <w:marRight w:val="0"/>
      <w:marTop w:val="0"/>
      <w:marBottom w:val="0"/>
      <w:divBdr>
        <w:top w:val="none" w:sz="0" w:space="0" w:color="auto"/>
        <w:left w:val="none" w:sz="0" w:space="0" w:color="auto"/>
        <w:bottom w:val="none" w:sz="0" w:space="0" w:color="auto"/>
        <w:right w:val="none" w:sz="0" w:space="0" w:color="auto"/>
      </w:divBdr>
    </w:div>
    <w:div w:id="1544055132">
      <w:bodyDiv w:val="1"/>
      <w:marLeft w:val="0"/>
      <w:marRight w:val="0"/>
      <w:marTop w:val="0"/>
      <w:marBottom w:val="0"/>
      <w:divBdr>
        <w:top w:val="none" w:sz="0" w:space="0" w:color="auto"/>
        <w:left w:val="none" w:sz="0" w:space="0" w:color="auto"/>
        <w:bottom w:val="none" w:sz="0" w:space="0" w:color="auto"/>
        <w:right w:val="none" w:sz="0" w:space="0" w:color="auto"/>
      </w:divBdr>
      <w:divsChild>
        <w:div w:id="492794510">
          <w:marLeft w:val="0"/>
          <w:marRight w:val="0"/>
          <w:marTop w:val="0"/>
          <w:marBottom w:val="0"/>
          <w:divBdr>
            <w:top w:val="none" w:sz="0" w:space="0" w:color="auto"/>
            <w:left w:val="none" w:sz="0" w:space="0" w:color="auto"/>
            <w:bottom w:val="none" w:sz="0" w:space="0" w:color="auto"/>
            <w:right w:val="none" w:sz="0" w:space="0" w:color="auto"/>
          </w:divBdr>
          <w:divsChild>
            <w:div w:id="1331718792">
              <w:marLeft w:val="0"/>
              <w:marRight w:val="0"/>
              <w:marTop w:val="420"/>
              <w:marBottom w:val="120"/>
              <w:divBdr>
                <w:top w:val="single" w:sz="6" w:space="6" w:color="686F70"/>
                <w:left w:val="single" w:sz="6" w:space="0" w:color="686F70"/>
                <w:bottom w:val="none" w:sz="0" w:space="0" w:color="auto"/>
                <w:right w:val="single" w:sz="6" w:space="0" w:color="686F70"/>
              </w:divBdr>
              <w:divsChild>
                <w:div w:id="25470532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64511354">
      <w:bodyDiv w:val="1"/>
      <w:marLeft w:val="0"/>
      <w:marRight w:val="0"/>
      <w:marTop w:val="0"/>
      <w:marBottom w:val="0"/>
      <w:divBdr>
        <w:top w:val="none" w:sz="0" w:space="0" w:color="auto"/>
        <w:left w:val="none" w:sz="0" w:space="0" w:color="auto"/>
        <w:bottom w:val="none" w:sz="0" w:space="0" w:color="auto"/>
        <w:right w:val="none" w:sz="0" w:space="0" w:color="auto"/>
      </w:divBdr>
    </w:div>
    <w:div w:id="1803111494">
      <w:bodyDiv w:val="1"/>
      <w:marLeft w:val="0"/>
      <w:marRight w:val="0"/>
      <w:marTop w:val="0"/>
      <w:marBottom w:val="0"/>
      <w:divBdr>
        <w:top w:val="none" w:sz="0" w:space="0" w:color="auto"/>
        <w:left w:val="none" w:sz="0" w:space="0" w:color="auto"/>
        <w:bottom w:val="none" w:sz="0" w:space="0" w:color="auto"/>
        <w:right w:val="none" w:sz="0" w:space="0" w:color="auto"/>
      </w:divBdr>
    </w:div>
    <w:div w:id="1847817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4990">
          <w:marLeft w:val="547"/>
          <w:marRight w:val="0"/>
          <w:marTop w:val="0"/>
          <w:marBottom w:val="0"/>
          <w:divBdr>
            <w:top w:val="none" w:sz="0" w:space="0" w:color="auto"/>
            <w:left w:val="none" w:sz="0" w:space="0" w:color="auto"/>
            <w:bottom w:val="none" w:sz="0" w:space="0" w:color="auto"/>
            <w:right w:val="none" w:sz="0" w:space="0" w:color="auto"/>
          </w:divBdr>
        </w:div>
        <w:div w:id="1231774204">
          <w:marLeft w:val="547"/>
          <w:marRight w:val="0"/>
          <w:marTop w:val="0"/>
          <w:marBottom w:val="0"/>
          <w:divBdr>
            <w:top w:val="none" w:sz="0" w:space="0" w:color="auto"/>
            <w:left w:val="none" w:sz="0" w:space="0" w:color="auto"/>
            <w:bottom w:val="none" w:sz="0" w:space="0" w:color="auto"/>
            <w:right w:val="none" w:sz="0" w:space="0" w:color="auto"/>
          </w:divBdr>
        </w:div>
        <w:div w:id="1496874319">
          <w:marLeft w:val="547"/>
          <w:marRight w:val="0"/>
          <w:marTop w:val="0"/>
          <w:marBottom w:val="0"/>
          <w:divBdr>
            <w:top w:val="none" w:sz="0" w:space="0" w:color="auto"/>
            <w:left w:val="none" w:sz="0" w:space="0" w:color="auto"/>
            <w:bottom w:val="none" w:sz="0" w:space="0" w:color="auto"/>
            <w:right w:val="none" w:sz="0" w:space="0" w:color="auto"/>
          </w:divBdr>
        </w:div>
        <w:div w:id="610164006">
          <w:marLeft w:val="547"/>
          <w:marRight w:val="0"/>
          <w:marTop w:val="0"/>
          <w:marBottom w:val="0"/>
          <w:divBdr>
            <w:top w:val="none" w:sz="0" w:space="0" w:color="auto"/>
            <w:left w:val="none" w:sz="0" w:space="0" w:color="auto"/>
            <w:bottom w:val="none" w:sz="0" w:space="0" w:color="auto"/>
            <w:right w:val="none" w:sz="0" w:space="0" w:color="auto"/>
          </w:divBdr>
        </w:div>
        <w:div w:id="1884559483">
          <w:marLeft w:val="547"/>
          <w:marRight w:val="0"/>
          <w:marTop w:val="0"/>
          <w:marBottom w:val="0"/>
          <w:divBdr>
            <w:top w:val="none" w:sz="0" w:space="0" w:color="auto"/>
            <w:left w:val="none" w:sz="0" w:space="0" w:color="auto"/>
            <w:bottom w:val="none" w:sz="0" w:space="0" w:color="auto"/>
            <w:right w:val="none" w:sz="0" w:space="0" w:color="auto"/>
          </w:divBdr>
        </w:div>
        <w:div w:id="1542129751">
          <w:marLeft w:val="547"/>
          <w:marRight w:val="0"/>
          <w:marTop w:val="0"/>
          <w:marBottom w:val="0"/>
          <w:divBdr>
            <w:top w:val="none" w:sz="0" w:space="0" w:color="auto"/>
            <w:left w:val="none" w:sz="0" w:space="0" w:color="auto"/>
            <w:bottom w:val="none" w:sz="0" w:space="0" w:color="auto"/>
            <w:right w:val="none" w:sz="0" w:space="0" w:color="auto"/>
          </w:divBdr>
        </w:div>
        <w:div w:id="47464161">
          <w:marLeft w:val="547"/>
          <w:marRight w:val="0"/>
          <w:marTop w:val="0"/>
          <w:marBottom w:val="0"/>
          <w:divBdr>
            <w:top w:val="none" w:sz="0" w:space="0" w:color="auto"/>
            <w:left w:val="none" w:sz="0" w:space="0" w:color="auto"/>
            <w:bottom w:val="none" w:sz="0" w:space="0" w:color="auto"/>
            <w:right w:val="none" w:sz="0" w:space="0" w:color="auto"/>
          </w:divBdr>
        </w:div>
        <w:div w:id="919947605">
          <w:marLeft w:val="547"/>
          <w:marRight w:val="0"/>
          <w:marTop w:val="0"/>
          <w:marBottom w:val="0"/>
          <w:divBdr>
            <w:top w:val="none" w:sz="0" w:space="0" w:color="auto"/>
            <w:left w:val="none" w:sz="0" w:space="0" w:color="auto"/>
            <w:bottom w:val="none" w:sz="0" w:space="0" w:color="auto"/>
            <w:right w:val="none" w:sz="0" w:space="0" w:color="auto"/>
          </w:divBdr>
        </w:div>
        <w:div w:id="1632247435">
          <w:marLeft w:val="547"/>
          <w:marRight w:val="0"/>
          <w:marTop w:val="0"/>
          <w:marBottom w:val="0"/>
          <w:divBdr>
            <w:top w:val="none" w:sz="0" w:space="0" w:color="auto"/>
            <w:left w:val="none" w:sz="0" w:space="0" w:color="auto"/>
            <w:bottom w:val="none" w:sz="0" w:space="0" w:color="auto"/>
            <w:right w:val="none" w:sz="0" w:space="0" w:color="auto"/>
          </w:divBdr>
        </w:div>
        <w:div w:id="787436718">
          <w:marLeft w:val="547"/>
          <w:marRight w:val="0"/>
          <w:marTop w:val="0"/>
          <w:marBottom w:val="0"/>
          <w:divBdr>
            <w:top w:val="none" w:sz="0" w:space="0" w:color="auto"/>
            <w:left w:val="none" w:sz="0" w:space="0" w:color="auto"/>
            <w:bottom w:val="none" w:sz="0" w:space="0" w:color="auto"/>
            <w:right w:val="none" w:sz="0" w:space="0" w:color="auto"/>
          </w:divBdr>
        </w:div>
        <w:div w:id="1183125993">
          <w:marLeft w:val="547"/>
          <w:marRight w:val="0"/>
          <w:marTop w:val="0"/>
          <w:marBottom w:val="0"/>
          <w:divBdr>
            <w:top w:val="none" w:sz="0" w:space="0" w:color="auto"/>
            <w:left w:val="none" w:sz="0" w:space="0" w:color="auto"/>
            <w:bottom w:val="none" w:sz="0" w:space="0" w:color="auto"/>
            <w:right w:val="none" w:sz="0" w:space="0" w:color="auto"/>
          </w:divBdr>
        </w:div>
        <w:div w:id="287244393">
          <w:marLeft w:val="547"/>
          <w:marRight w:val="0"/>
          <w:marTop w:val="0"/>
          <w:marBottom w:val="0"/>
          <w:divBdr>
            <w:top w:val="none" w:sz="0" w:space="0" w:color="auto"/>
            <w:left w:val="none" w:sz="0" w:space="0" w:color="auto"/>
            <w:bottom w:val="none" w:sz="0" w:space="0" w:color="auto"/>
            <w:right w:val="none" w:sz="0" w:space="0" w:color="auto"/>
          </w:divBdr>
        </w:div>
        <w:div w:id="469857829">
          <w:marLeft w:val="547"/>
          <w:marRight w:val="0"/>
          <w:marTop w:val="0"/>
          <w:marBottom w:val="0"/>
          <w:divBdr>
            <w:top w:val="none" w:sz="0" w:space="0" w:color="auto"/>
            <w:left w:val="none" w:sz="0" w:space="0" w:color="auto"/>
            <w:bottom w:val="none" w:sz="0" w:space="0" w:color="auto"/>
            <w:right w:val="none" w:sz="0" w:space="0" w:color="auto"/>
          </w:divBdr>
        </w:div>
        <w:div w:id="1526285038">
          <w:marLeft w:val="547"/>
          <w:marRight w:val="0"/>
          <w:marTop w:val="0"/>
          <w:marBottom w:val="0"/>
          <w:divBdr>
            <w:top w:val="none" w:sz="0" w:space="0" w:color="auto"/>
            <w:left w:val="none" w:sz="0" w:space="0" w:color="auto"/>
            <w:bottom w:val="none" w:sz="0" w:space="0" w:color="auto"/>
            <w:right w:val="none" w:sz="0" w:space="0" w:color="auto"/>
          </w:divBdr>
        </w:div>
        <w:div w:id="183397383">
          <w:marLeft w:val="547"/>
          <w:marRight w:val="0"/>
          <w:marTop w:val="0"/>
          <w:marBottom w:val="0"/>
          <w:divBdr>
            <w:top w:val="none" w:sz="0" w:space="0" w:color="auto"/>
            <w:left w:val="none" w:sz="0" w:space="0" w:color="auto"/>
            <w:bottom w:val="none" w:sz="0" w:space="0" w:color="auto"/>
            <w:right w:val="none" w:sz="0" w:space="0" w:color="auto"/>
          </w:divBdr>
        </w:div>
        <w:div w:id="87630">
          <w:marLeft w:val="547"/>
          <w:marRight w:val="0"/>
          <w:marTop w:val="0"/>
          <w:marBottom w:val="0"/>
          <w:divBdr>
            <w:top w:val="none" w:sz="0" w:space="0" w:color="auto"/>
            <w:left w:val="none" w:sz="0" w:space="0" w:color="auto"/>
            <w:bottom w:val="none" w:sz="0" w:space="0" w:color="auto"/>
            <w:right w:val="none" w:sz="0" w:space="0" w:color="auto"/>
          </w:divBdr>
        </w:div>
        <w:div w:id="22248638">
          <w:marLeft w:val="547"/>
          <w:marRight w:val="0"/>
          <w:marTop w:val="0"/>
          <w:marBottom w:val="0"/>
          <w:divBdr>
            <w:top w:val="none" w:sz="0" w:space="0" w:color="auto"/>
            <w:left w:val="none" w:sz="0" w:space="0" w:color="auto"/>
            <w:bottom w:val="none" w:sz="0" w:space="0" w:color="auto"/>
            <w:right w:val="none" w:sz="0" w:space="0" w:color="auto"/>
          </w:divBdr>
        </w:div>
        <w:div w:id="1192694009">
          <w:marLeft w:val="547"/>
          <w:marRight w:val="0"/>
          <w:marTop w:val="0"/>
          <w:marBottom w:val="0"/>
          <w:divBdr>
            <w:top w:val="none" w:sz="0" w:space="0" w:color="auto"/>
            <w:left w:val="none" w:sz="0" w:space="0" w:color="auto"/>
            <w:bottom w:val="none" w:sz="0" w:space="0" w:color="auto"/>
            <w:right w:val="none" w:sz="0" w:space="0" w:color="auto"/>
          </w:divBdr>
        </w:div>
        <w:div w:id="997150638">
          <w:marLeft w:val="547"/>
          <w:marRight w:val="0"/>
          <w:marTop w:val="0"/>
          <w:marBottom w:val="0"/>
          <w:divBdr>
            <w:top w:val="none" w:sz="0" w:space="0" w:color="auto"/>
            <w:left w:val="none" w:sz="0" w:space="0" w:color="auto"/>
            <w:bottom w:val="none" w:sz="0" w:space="0" w:color="auto"/>
            <w:right w:val="none" w:sz="0" w:space="0" w:color="auto"/>
          </w:divBdr>
        </w:div>
        <w:div w:id="1953779537">
          <w:marLeft w:val="547"/>
          <w:marRight w:val="0"/>
          <w:marTop w:val="0"/>
          <w:marBottom w:val="0"/>
          <w:divBdr>
            <w:top w:val="none" w:sz="0" w:space="0" w:color="auto"/>
            <w:left w:val="none" w:sz="0" w:space="0" w:color="auto"/>
            <w:bottom w:val="none" w:sz="0" w:space="0" w:color="auto"/>
            <w:right w:val="none" w:sz="0" w:space="0" w:color="auto"/>
          </w:divBdr>
        </w:div>
        <w:div w:id="1828863818">
          <w:marLeft w:val="547"/>
          <w:marRight w:val="0"/>
          <w:marTop w:val="0"/>
          <w:marBottom w:val="0"/>
          <w:divBdr>
            <w:top w:val="none" w:sz="0" w:space="0" w:color="auto"/>
            <w:left w:val="none" w:sz="0" w:space="0" w:color="auto"/>
            <w:bottom w:val="none" w:sz="0" w:space="0" w:color="auto"/>
            <w:right w:val="none" w:sz="0" w:space="0" w:color="auto"/>
          </w:divBdr>
        </w:div>
        <w:div w:id="520775536">
          <w:marLeft w:val="547"/>
          <w:marRight w:val="0"/>
          <w:marTop w:val="0"/>
          <w:marBottom w:val="0"/>
          <w:divBdr>
            <w:top w:val="none" w:sz="0" w:space="0" w:color="auto"/>
            <w:left w:val="none" w:sz="0" w:space="0" w:color="auto"/>
            <w:bottom w:val="none" w:sz="0" w:space="0" w:color="auto"/>
            <w:right w:val="none" w:sz="0" w:space="0" w:color="auto"/>
          </w:divBdr>
        </w:div>
        <w:div w:id="1498500701">
          <w:marLeft w:val="547"/>
          <w:marRight w:val="0"/>
          <w:marTop w:val="0"/>
          <w:marBottom w:val="0"/>
          <w:divBdr>
            <w:top w:val="none" w:sz="0" w:space="0" w:color="auto"/>
            <w:left w:val="none" w:sz="0" w:space="0" w:color="auto"/>
            <w:bottom w:val="none" w:sz="0" w:space="0" w:color="auto"/>
            <w:right w:val="none" w:sz="0" w:space="0" w:color="auto"/>
          </w:divBdr>
        </w:div>
        <w:div w:id="1250115633">
          <w:marLeft w:val="547"/>
          <w:marRight w:val="0"/>
          <w:marTop w:val="0"/>
          <w:marBottom w:val="0"/>
          <w:divBdr>
            <w:top w:val="none" w:sz="0" w:space="0" w:color="auto"/>
            <w:left w:val="none" w:sz="0" w:space="0" w:color="auto"/>
            <w:bottom w:val="none" w:sz="0" w:space="0" w:color="auto"/>
            <w:right w:val="none" w:sz="0" w:space="0" w:color="auto"/>
          </w:divBdr>
        </w:div>
        <w:div w:id="1623150195">
          <w:marLeft w:val="547"/>
          <w:marRight w:val="0"/>
          <w:marTop w:val="0"/>
          <w:marBottom w:val="0"/>
          <w:divBdr>
            <w:top w:val="none" w:sz="0" w:space="0" w:color="auto"/>
            <w:left w:val="none" w:sz="0" w:space="0" w:color="auto"/>
            <w:bottom w:val="none" w:sz="0" w:space="0" w:color="auto"/>
            <w:right w:val="none" w:sz="0" w:space="0" w:color="auto"/>
          </w:divBdr>
        </w:div>
        <w:div w:id="302390345">
          <w:marLeft w:val="547"/>
          <w:marRight w:val="0"/>
          <w:marTop w:val="0"/>
          <w:marBottom w:val="0"/>
          <w:divBdr>
            <w:top w:val="none" w:sz="0" w:space="0" w:color="auto"/>
            <w:left w:val="none" w:sz="0" w:space="0" w:color="auto"/>
            <w:bottom w:val="none" w:sz="0" w:space="0" w:color="auto"/>
            <w:right w:val="none" w:sz="0" w:space="0" w:color="auto"/>
          </w:divBdr>
        </w:div>
        <w:div w:id="1046444660">
          <w:marLeft w:val="547"/>
          <w:marRight w:val="0"/>
          <w:marTop w:val="0"/>
          <w:marBottom w:val="0"/>
          <w:divBdr>
            <w:top w:val="none" w:sz="0" w:space="0" w:color="auto"/>
            <w:left w:val="none" w:sz="0" w:space="0" w:color="auto"/>
            <w:bottom w:val="none" w:sz="0" w:space="0" w:color="auto"/>
            <w:right w:val="none" w:sz="0" w:space="0" w:color="auto"/>
          </w:divBdr>
        </w:div>
        <w:div w:id="1146823110">
          <w:marLeft w:val="547"/>
          <w:marRight w:val="0"/>
          <w:marTop w:val="0"/>
          <w:marBottom w:val="0"/>
          <w:divBdr>
            <w:top w:val="none" w:sz="0" w:space="0" w:color="auto"/>
            <w:left w:val="none" w:sz="0" w:space="0" w:color="auto"/>
            <w:bottom w:val="none" w:sz="0" w:space="0" w:color="auto"/>
            <w:right w:val="none" w:sz="0" w:space="0" w:color="auto"/>
          </w:divBdr>
        </w:div>
        <w:div w:id="1487353617">
          <w:marLeft w:val="547"/>
          <w:marRight w:val="0"/>
          <w:marTop w:val="0"/>
          <w:marBottom w:val="0"/>
          <w:divBdr>
            <w:top w:val="none" w:sz="0" w:space="0" w:color="auto"/>
            <w:left w:val="none" w:sz="0" w:space="0" w:color="auto"/>
            <w:bottom w:val="none" w:sz="0" w:space="0" w:color="auto"/>
            <w:right w:val="none" w:sz="0" w:space="0" w:color="auto"/>
          </w:divBdr>
        </w:div>
        <w:div w:id="917055796">
          <w:marLeft w:val="547"/>
          <w:marRight w:val="0"/>
          <w:marTop w:val="0"/>
          <w:marBottom w:val="0"/>
          <w:divBdr>
            <w:top w:val="none" w:sz="0" w:space="0" w:color="auto"/>
            <w:left w:val="none" w:sz="0" w:space="0" w:color="auto"/>
            <w:bottom w:val="none" w:sz="0" w:space="0" w:color="auto"/>
            <w:right w:val="none" w:sz="0" w:space="0" w:color="auto"/>
          </w:divBdr>
        </w:div>
        <w:div w:id="331876068">
          <w:marLeft w:val="547"/>
          <w:marRight w:val="0"/>
          <w:marTop w:val="0"/>
          <w:marBottom w:val="0"/>
          <w:divBdr>
            <w:top w:val="none" w:sz="0" w:space="0" w:color="auto"/>
            <w:left w:val="none" w:sz="0" w:space="0" w:color="auto"/>
            <w:bottom w:val="none" w:sz="0" w:space="0" w:color="auto"/>
            <w:right w:val="none" w:sz="0" w:space="0" w:color="auto"/>
          </w:divBdr>
        </w:div>
        <w:div w:id="183054427">
          <w:marLeft w:val="547"/>
          <w:marRight w:val="0"/>
          <w:marTop w:val="0"/>
          <w:marBottom w:val="0"/>
          <w:divBdr>
            <w:top w:val="none" w:sz="0" w:space="0" w:color="auto"/>
            <w:left w:val="none" w:sz="0" w:space="0" w:color="auto"/>
            <w:bottom w:val="none" w:sz="0" w:space="0" w:color="auto"/>
            <w:right w:val="none" w:sz="0" w:space="0" w:color="auto"/>
          </w:divBdr>
        </w:div>
        <w:div w:id="518396440">
          <w:marLeft w:val="547"/>
          <w:marRight w:val="0"/>
          <w:marTop w:val="0"/>
          <w:marBottom w:val="0"/>
          <w:divBdr>
            <w:top w:val="none" w:sz="0" w:space="0" w:color="auto"/>
            <w:left w:val="none" w:sz="0" w:space="0" w:color="auto"/>
            <w:bottom w:val="none" w:sz="0" w:space="0" w:color="auto"/>
            <w:right w:val="none" w:sz="0" w:space="0" w:color="auto"/>
          </w:divBdr>
        </w:div>
        <w:div w:id="271281914">
          <w:marLeft w:val="547"/>
          <w:marRight w:val="0"/>
          <w:marTop w:val="0"/>
          <w:marBottom w:val="0"/>
          <w:divBdr>
            <w:top w:val="none" w:sz="0" w:space="0" w:color="auto"/>
            <w:left w:val="none" w:sz="0" w:space="0" w:color="auto"/>
            <w:bottom w:val="none" w:sz="0" w:space="0" w:color="auto"/>
            <w:right w:val="none" w:sz="0" w:space="0" w:color="auto"/>
          </w:divBdr>
        </w:div>
        <w:div w:id="1767529793">
          <w:marLeft w:val="547"/>
          <w:marRight w:val="0"/>
          <w:marTop w:val="0"/>
          <w:marBottom w:val="0"/>
          <w:divBdr>
            <w:top w:val="none" w:sz="0" w:space="0" w:color="auto"/>
            <w:left w:val="none" w:sz="0" w:space="0" w:color="auto"/>
            <w:bottom w:val="none" w:sz="0" w:space="0" w:color="auto"/>
            <w:right w:val="none" w:sz="0" w:space="0" w:color="auto"/>
          </w:divBdr>
        </w:div>
        <w:div w:id="32581961">
          <w:marLeft w:val="547"/>
          <w:marRight w:val="0"/>
          <w:marTop w:val="0"/>
          <w:marBottom w:val="0"/>
          <w:divBdr>
            <w:top w:val="none" w:sz="0" w:space="0" w:color="auto"/>
            <w:left w:val="none" w:sz="0" w:space="0" w:color="auto"/>
            <w:bottom w:val="none" w:sz="0" w:space="0" w:color="auto"/>
            <w:right w:val="none" w:sz="0" w:space="0" w:color="auto"/>
          </w:divBdr>
        </w:div>
        <w:div w:id="982202493">
          <w:marLeft w:val="547"/>
          <w:marRight w:val="0"/>
          <w:marTop w:val="0"/>
          <w:marBottom w:val="0"/>
          <w:divBdr>
            <w:top w:val="none" w:sz="0" w:space="0" w:color="auto"/>
            <w:left w:val="none" w:sz="0" w:space="0" w:color="auto"/>
            <w:bottom w:val="none" w:sz="0" w:space="0" w:color="auto"/>
            <w:right w:val="none" w:sz="0" w:space="0" w:color="auto"/>
          </w:divBdr>
        </w:div>
        <w:div w:id="335502659">
          <w:marLeft w:val="547"/>
          <w:marRight w:val="0"/>
          <w:marTop w:val="0"/>
          <w:marBottom w:val="0"/>
          <w:divBdr>
            <w:top w:val="none" w:sz="0" w:space="0" w:color="auto"/>
            <w:left w:val="none" w:sz="0" w:space="0" w:color="auto"/>
            <w:bottom w:val="none" w:sz="0" w:space="0" w:color="auto"/>
            <w:right w:val="none" w:sz="0" w:space="0" w:color="auto"/>
          </w:divBdr>
        </w:div>
        <w:div w:id="211119164">
          <w:marLeft w:val="547"/>
          <w:marRight w:val="0"/>
          <w:marTop w:val="0"/>
          <w:marBottom w:val="0"/>
          <w:divBdr>
            <w:top w:val="none" w:sz="0" w:space="0" w:color="auto"/>
            <w:left w:val="none" w:sz="0" w:space="0" w:color="auto"/>
            <w:bottom w:val="none" w:sz="0" w:space="0" w:color="auto"/>
            <w:right w:val="none" w:sz="0" w:space="0" w:color="auto"/>
          </w:divBdr>
        </w:div>
        <w:div w:id="1482120315">
          <w:marLeft w:val="547"/>
          <w:marRight w:val="0"/>
          <w:marTop w:val="0"/>
          <w:marBottom w:val="0"/>
          <w:divBdr>
            <w:top w:val="none" w:sz="0" w:space="0" w:color="auto"/>
            <w:left w:val="none" w:sz="0" w:space="0" w:color="auto"/>
            <w:bottom w:val="none" w:sz="0" w:space="0" w:color="auto"/>
            <w:right w:val="none" w:sz="0" w:space="0" w:color="auto"/>
          </w:divBdr>
        </w:div>
        <w:div w:id="1680503078">
          <w:marLeft w:val="274"/>
          <w:marRight w:val="0"/>
          <w:marTop w:val="0"/>
          <w:marBottom w:val="0"/>
          <w:divBdr>
            <w:top w:val="none" w:sz="0" w:space="0" w:color="auto"/>
            <w:left w:val="none" w:sz="0" w:space="0" w:color="auto"/>
            <w:bottom w:val="none" w:sz="0" w:space="0" w:color="auto"/>
            <w:right w:val="none" w:sz="0" w:space="0" w:color="auto"/>
          </w:divBdr>
        </w:div>
        <w:div w:id="29494929">
          <w:marLeft w:val="274"/>
          <w:marRight w:val="0"/>
          <w:marTop w:val="0"/>
          <w:marBottom w:val="0"/>
          <w:divBdr>
            <w:top w:val="none" w:sz="0" w:space="0" w:color="auto"/>
            <w:left w:val="none" w:sz="0" w:space="0" w:color="auto"/>
            <w:bottom w:val="none" w:sz="0" w:space="0" w:color="auto"/>
            <w:right w:val="none" w:sz="0" w:space="0" w:color="auto"/>
          </w:divBdr>
        </w:div>
        <w:div w:id="1267882010">
          <w:marLeft w:val="274"/>
          <w:marRight w:val="0"/>
          <w:marTop w:val="0"/>
          <w:marBottom w:val="0"/>
          <w:divBdr>
            <w:top w:val="none" w:sz="0" w:space="0" w:color="auto"/>
            <w:left w:val="none" w:sz="0" w:space="0" w:color="auto"/>
            <w:bottom w:val="none" w:sz="0" w:space="0" w:color="auto"/>
            <w:right w:val="none" w:sz="0" w:space="0" w:color="auto"/>
          </w:divBdr>
        </w:div>
      </w:divsChild>
    </w:div>
    <w:div w:id="1862434064">
      <w:bodyDiv w:val="1"/>
      <w:marLeft w:val="0"/>
      <w:marRight w:val="0"/>
      <w:marTop w:val="0"/>
      <w:marBottom w:val="0"/>
      <w:divBdr>
        <w:top w:val="none" w:sz="0" w:space="0" w:color="auto"/>
        <w:left w:val="none" w:sz="0" w:space="0" w:color="auto"/>
        <w:bottom w:val="none" w:sz="0" w:space="0" w:color="auto"/>
        <w:right w:val="none" w:sz="0" w:space="0" w:color="auto"/>
      </w:divBdr>
    </w:div>
    <w:div w:id="1882013157">
      <w:bodyDiv w:val="1"/>
      <w:marLeft w:val="0"/>
      <w:marRight w:val="0"/>
      <w:marTop w:val="0"/>
      <w:marBottom w:val="0"/>
      <w:divBdr>
        <w:top w:val="none" w:sz="0" w:space="0" w:color="auto"/>
        <w:left w:val="none" w:sz="0" w:space="0" w:color="auto"/>
        <w:bottom w:val="none" w:sz="0" w:space="0" w:color="auto"/>
        <w:right w:val="none" w:sz="0" w:space="0" w:color="auto"/>
      </w:divBdr>
    </w:div>
    <w:div w:id="2006198227">
      <w:bodyDiv w:val="1"/>
      <w:marLeft w:val="0"/>
      <w:marRight w:val="0"/>
      <w:marTop w:val="0"/>
      <w:marBottom w:val="0"/>
      <w:divBdr>
        <w:top w:val="none" w:sz="0" w:space="0" w:color="auto"/>
        <w:left w:val="none" w:sz="0" w:space="0" w:color="auto"/>
        <w:bottom w:val="none" w:sz="0" w:space="0" w:color="auto"/>
        <w:right w:val="none" w:sz="0" w:space="0" w:color="auto"/>
      </w:divBdr>
    </w:div>
    <w:div w:id="21304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 TargetMode="External"/><Relationship Id="rId13" Type="http://schemas.openxmlformats.org/officeDocument/2006/relationships/hyperlink" Target="mailto:copyright@ag.gov.au" TargetMode="External"/><Relationship Id="rId18" Type="http://schemas.openxmlformats.org/officeDocument/2006/relationships/hyperlink" Target="http://www.nationalsecurity.gov.au/"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www.blu.asio.gov.au/" TargetMode="External"/><Relationship Id="rId7" Type="http://schemas.openxmlformats.org/officeDocument/2006/relationships/endnotes" Target="endnotes.xml"/><Relationship Id="rId12" Type="http://schemas.openxmlformats.org/officeDocument/2006/relationships/hyperlink" Target="http://www.itsanhonour.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em.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nactso.gov.uk/publications" TargetMode="External"/><Relationship Id="rId28" Type="http://schemas.openxmlformats.org/officeDocument/2006/relationships/customXml" Target="../customXml/item3.xml"/><Relationship Id="rId10" Type="http://schemas.openxmlformats.org/officeDocument/2006/relationships/image" Target="http://www.budget.gov.au/2010-11/content/bp1/image/bp1_prelims-2.gif" TargetMode="External"/><Relationship Id="rId19" Type="http://schemas.openxmlformats.org/officeDocument/2006/relationships/hyperlink" Target="http://www.nationalsecurity.gov.a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yperlink" Target="http://www.dhs.gov/preventing-terrorism"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05AC2C595F04497E846C0B24B1807" ma:contentTypeVersion="1" ma:contentTypeDescription="Create a new document." ma:contentTypeScope="" ma:versionID="9b0f62a7f7029f31ee7c184219753a6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DBBDF-0C70-49CC-8301-0AD7B270CEB1}"/>
</file>

<file path=customXml/itemProps2.xml><?xml version="1.0" encoding="utf-8"?>
<ds:datastoreItem xmlns:ds="http://schemas.openxmlformats.org/officeDocument/2006/customXml" ds:itemID="{7899EA2D-F667-44DC-815A-2CAF870B86E8}"/>
</file>

<file path=customXml/itemProps3.xml><?xml version="1.0" encoding="utf-8"?>
<ds:datastoreItem xmlns:ds="http://schemas.openxmlformats.org/officeDocument/2006/customXml" ds:itemID="{F2E6793A-DEC7-468F-A94D-E940C7282654}"/>
</file>

<file path=docProps/app.xml><?xml version="1.0" encoding="utf-8"?>
<Properties xmlns="http://schemas.openxmlformats.org/officeDocument/2006/extended-properties" xmlns:vt="http://schemas.openxmlformats.org/officeDocument/2006/docPropsVTypes">
  <Template>Normal</Template>
  <TotalTime>0</TotalTime>
  <Pages>11</Pages>
  <Words>4029</Words>
  <Characters>26087</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Active Shooter Guidelines Places Mass Gathering </vt:lpstr>
    </vt:vector>
  </TitlesOfParts>
  <LinksUpToDate>false</LinksUpToDate>
  <CharactersWithSpaces>30056</CharactersWithSpaces>
  <SharedDoc>false</SharedDoc>
  <HyperlinkBase/>
  <HLinks>
    <vt:vector size="186" baseType="variant">
      <vt:variant>
        <vt:i4>3014749</vt:i4>
      </vt:variant>
      <vt:variant>
        <vt:i4>144</vt:i4>
      </vt:variant>
      <vt:variant>
        <vt:i4>0</vt:i4>
      </vt:variant>
      <vt:variant>
        <vt:i4>5</vt:i4>
      </vt:variant>
      <vt:variant>
        <vt:lpwstr>mailto:sapol.sacis@police.sa.gov.au</vt:lpwstr>
      </vt:variant>
      <vt:variant>
        <vt:lpwstr/>
      </vt:variant>
      <vt:variant>
        <vt:i4>8323090</vt:i4>
      </vt:variant>
      <vt:variant>
        <vt:i4>141</vt:i4>
      </vt:variant>
      <vt:variant>
        <vt:i4>0</vt:i4>
      </vt:variant>
      <vt:variant>
        <vt:i4>5</vt:i4>
      </vt:variant>
      <vt:variant>
        <vt:lpwstr>mailto:publicaffairs@ag.gov.au</vt:lpwstr>
      </vt:variant>
      <vt:variant>
        <vt:lpwstr/>
      </vt:variant>
      <vt:variant>
        <vt:i4>7340071</vt:i4>
      </vt:variant>
      <vt:variant>
        <vt:i4>138</vt:i4>
      </vt:variant>
      <vt:variant>
        <vt:i4>0</vt:i4>
      </vt:variant>
      <vt:variant>
        <vt:i4>5</vt:i4>
      </vt:variant>
      <vt:variant>
        <vt:lpwstr>http://www.ema.gov.au/</vt:lpwstr>
      </vt:variant>
      <vt:variant>
        <vt:lpwstr/>
      </vt:variant>
      <vt:variant>
        <vt:i4>1704008</vt:i4>
      </vt:variant>
      <vt:variant>
        <vt:i4>135</vt:i4>
      </vt:variant>
      <vt:variant>
        <vt:i4>0</vt:i4>
      </vt:variant>
      <vt:variant>
        <vt:i4>5</vt:i4>
      </vt:variant>
      <vt:variant>
        <vt:lpwstr>http://www.standards.org.au/</vt:lpwstr>
      </vt:variant>
      <vt:variant>
        <vt:lpwstr/>
      </vt:variant>
      <vt:variant>
        <vt:i4>8323090</vt:i4>
      </vt:variant>
      <vt:variant>
        <vt:i4>132</vt:i4>
      </vt:variant>
      <vt:variant>
        <vt:i4>0</vt:i4>
      </vt:variant>
      <vt:variant>
        <vt:i4>5</vt:i4>
      </vt:variant>
      <vt:variant>
        <vt:lpwstr>mailto:publicaffairs@ag.gov.au</vt:lpwstr>
      </vt:variant>
      <vt:variant>
        <vt:lpwstr/>
      </vt:variant>
      <vt:variant>
        <vt:i4>655432</vt:i4>
      </vt:variant>
      <vt:variant>
        <vt:i4>129</vt:i4>
      </vt:variant>
      <vt:variant>
        <vt:i4>0</vt:i4>
      </vt:variant>
      <vt:variant>
        <vt:i4>5</vt:i4>
      </vt:variant>
      <vt:variant>
        <vt:lpwstr>http://www.cript.gov.au/</vt:lpwstr>
      </vt:variant>
      <vt:variant>
        <vt:lpwstr/>
      </vt:variant>
      <vt:variant>
        <vt:i4>3342378</vt:i4>
      </vt:variant>
      <vt:variant>
        <vt:i4>126</vt:i4>
      </vt:variant>
      <vt:variant>
        <vt:i4>0</vt:i4>
      </vt:variant>
      <vt:variant>
        <vt:i4>5</vt:i4>
      </vt:variant>
      <vt:variant>
        <vt:lpwstr>http://www.nationalsecurity.gov.au/</vt:lpwstr>
      </vt:variant>
      <vt:variant>
        <vt:lpwstr/>
      </vt:variant>
      <vt:variant>
        <vt:i4>6946845</vt:i4>
      </vt:variant>
      <vt:variant>
        <vt:i4>123</vt:i4>
      </vt:variant>
      <vt:variant>
        <vt:i4>0</vt:i4>
      </vt:variant>
      <vt:variant>
        <vt:i4>5</vt:i4>
      </vt:variant>
      <vt:variant>
        <vt:lpwstr>mailto:hotline@nationalsecurity.gov.au</vt:lpwstr>
      </vt:variant>
      <vt:variant>
        <vt:lpwstr/>
      </vt:variant>
      <vt:variant>
        <vt:i4>3342378</vt:i4>
      </vt:variant>
      <vt:variant>
        <vt:i4>120</vt:i4>
      </vt:variant>
      <vt:variant>
        <vt:i4>0</vt:i4>
      </vt:variant>
      <vt:variant>
        <vt:i4>5</vt:i4>
      </vt:variant>
      <vt:variant>
        <vt:lpwstr>http://www.nationalsecurity.gov.au/</vt:lpwstr>
      </vt:variant>
      <vt:variant>
        <vt:lpwstr/>
      </vt:variant>
      <vt:variant>
        <vt:i4>1310772</vt:i4>
      </vt:variant>
      <vt:variant>
        <vt:i4>113</vt:i4>
      </vt:variant>
      <vt:variant>
        <vt:i4>0</vt:i4>
      </vt:variant>
      <vt:variant>
        <vt:i4>5</vt:i4>
      </vt:variant>
      <vt:variant>
        <vt:lpwstr/>
      </vt:variant>
      <vt:variant>
        <vt:lpwstr>_Toc295813210</vt:lpwstr>
      </vt:variant>
      <vt:variant>
        <vt:i4>1376308</vt:i4>
      </vt:variant>
      <vt:variant>
        <vt:i4>110</vt:i4>
      </vt:variant>
      <vt:variant>
        <vt:i4>0</vt:i4>
      </vt:variant>
      <vt:variant>
        <vt:i4>5</vt:i4>
      </vt:variant>
      <vt:variant>
        <vt:lpwstr/>
      </vt:variant>
      <vt:variant>
        <vt:lpwstr>_Toc295813209</vt:lpwstr>
      </vt:variant>
      <vt:variant>
        <vt:i4>1376308</vt:i4>
      </vt:variant>
      <vt:variant>
        <vt:i4>104</vt:i4>
      </vt:variant>
      <vt:variant>
        <vt:i4>0</vt:i4>
      </vt:variant>
      <vt:variant>
        <vt:i4>5</vt:i4>
      </vt:variant>
      <vt:variant>
        <vt:lpwstr/>
      </vt:variant>
      <vt:variant>
        <vt:lpwstr>_Toc295813208</vt:lpwstr>
      </vt:variant>
      <vt:variant>
        <vt:i4>1376308</vt:i4>
      </vt:variant>
      <vt:variant>
        <vt:i4>101</vt:i4>
      </vt:variant>
      <vt:variant>
        <vt:i4>0</vt:i4>
      </vt:variant>
      <vt:variant>
        <vt:i4>5</vt:i4>
      </vt:variant>
      <vt:variant>
        <vt:lpwstr/>
      </vt:variant>
      <vt:variant>
        <vt:lpwstr>_Toc295813207</vt:lpwstr>
      </vt:variant>
      <vt:variant>
        <vt:i4>1376308</vt:i4>
      </vt:variant>
      <vt:variant>
        <vt:i4>95</vt:i4>
      </vt:variant>
      <vt:variant>
        <vt:i4>0</vt:i4>
      </vt:variant>
      <vt:variant>
        <vt:i4>5</vt:i4>
      </vt:variant>
      <vt:variant>
        <vt:lpwstr/>
      </vt:variant>
      <vt:variant>
        <vt:lpwstr>_Toc295813206</vt:lpwstr>
      </vt:variant>
      <vt:variant>
        <vt:i4>1376308</vt:i4>
      </vt:variant>
      <vt:variant>
        <vt:i4>92</vt:i4>
      </vt:variant>
      <vt:variant>
        <vt:i4>0</vt:i4>
      </vt:variant>
      <vt:variant>
        <vt:i4>5</vt:i4>
      </vt:variant>
      <vt:variant>
        <vt:lpwstr/>
      </vt:variant>
      <vt:variant>
        <vt:lpwstr>_Toc295813205</vt:lpwstr>
      </vt:variant>
      <vt:variant>
        <vt:i4>1376308</vt:i4>
      </vt:variant>
      <vt:variant>
        <vt:i4>86</vt:i4>
      </vt:variant>
      <vt:variant>
        <vt:i4>0</vt:i4>
      </vt:variant>
      <vt:variant>
        <vt:i4>5</vt:i4>
      </vt:variant>
      <vt:variant>
        <vt:lpwstr/>
      </vt:variant>
      <vt:variant>
        <vt:lpwstr>_Toc295813204</vt:lpwstr>
      </vt:variant>
      <vt:variant>
        <vt:i4>1376308</vt:i4>
      </vt:variant>
      <vt:variant>
        <vt:i4>83</vt:i4>
      </vt:variant>
      <vt:variant>
        <vt:i4>0</vt:i4>
      </vt:variant>
      <vt:variant>
        <vt:i4>5</vt:i4>
      </vt:variant>
      <vt:variant>
        <vt:lpwstr/>
      </vt:variant>
      <vt:variant>
        <vt:lpwstr>_Toc295813203</vt:lpwstr>
      </vt:variant>
      <vt:variant>
        <vt:i4>1376308</vt:i4>
      </vt:variant>
      <vt:variant>
        <vt:i4>77</vt:i4>
      </vt:variant>
      <vt:variant>
        <vt:i4>0</vt:i4>
      </vt:variant>
      <vt:variant>
        <vt:i4>5</vt:i4>
      </vt:variant>
      <vt:variant>
        <vt:lpwstr/>
      </vt:variant>
      <vt:variant>
        <vt:lpwstr>_Toc295813202</vt:lpwstr>
      </vt:variant>
      <vt:variant>
        <vt:i4>1376308</vt:i4>
      </vt:variant>
      <vt:variant>
        <vt:i4>74</vt:i4>
      </vt:variant>
      <vt:variant>
        <vt:i4>0</vt:i4>
      </vt:variant>
      <vt:variant>
        <vt:i4>5</vt:i4>
      </vt:variant>
      <vt:variant>
        <vt:lpwstr/>
      </vt:variant>
      <vt:variant>
        <vt:lpwstr>_Toc295813201</vt:lpwstr>
      </vt:variant>
      <vt:variant>
        <vt:i4>1376308</vt:i4>
      </vt:variant>
      <vt:variant>
        <vt:i4>68</vt:i4>
      </vt:variant>
      <vt:variant>
        <vt:i4>0</vt:i4>
      </vt:variant>
      <vt:variant>
        <vt:i4>5</vt:i4>
      </vt:variant>
      <vt:variant>
        <vt:lpwstr/>
      </vt:variant>
      <vt:variant>
        <vt:lpwstr>_Toc295813200</vt:lpwstr>
      </vt:variant>
      <vt:variant>
        <vt:i4>1835063</vt:i4>
      </vt:variant>
      <vt:variant>
        <vt:i4>62</vt:i4>
      </vt:variant>
      <vt:variant>
        <vt:i4>0</vt:i4>
      </vt:variant>
      <vt:variant>
        <vt:i4>5</vt:i4>
      </vt:variant>
      <vt:variant>
        <vt:lpwstr/>
      </vt:variant>
      <vt:variant>
        <vt:lpwstr>_Toc295813199</vt:lpwstr>
      </vt:variant>
      <vt:variant>
        <vt:i4>1835063</vt:i4>
      </vt:variant>
      <vt:variant>
        <vt:i4>56</vt:i4>
      </vt:variant>
      <vt:variant>
        <vt:i4>0</vt:i4>
      </vt:variant>
      <vt:variant>
        <vt:i4>5</vt:i4>
      </vt:variant>
      <vt:variant>
        <vt:lpwstr/>
      </vt:variant>
      <vt:variant>
        <vt:lpwstr>_Toc295813198</vt:lpwstr>
      </vt:variant>
      <vt:variant>
        <vt:i4>1835063</vt:i4>
      </vt:variant>
      <vt:variant>
        <vt:i4>50</vt:i4>
      </vt:variant>
      <vt:variant>
        <vt:i4>0</vt:i4>
      </vt:variant>
      <vt:variant>
        <vt:i4>5</vt:i4>
      </vt:variant>
      <vt:variant>
        <vt:lpwstr/>
      </vt:variant>
      <vt:variant>
        <vt:lpwstr>_Toc295813197</vt:lpwstr>
      </vt:variant>
      <vt:variant>
        <vt:i4>1835063</vt:i4>
      </vt:variant>
      <vt:variant>
        <vt:i4>44</vt:i4>
      </vt:variant>
      <vt:variant>
        <vt:i4>0</vt:i4>
      </vt:variant>
      <vt:variant>
        <vt:i4>5</vt:i4>
      </vt:variant>
      <vt:variant>
        <vt:lpwstr/>
      </vt:variant>
      <vt:variant>
        <vt:lpwstr>_Toc295813196</vt:lpwstr>
      </vt:variant>
      <vt:variant>
        <vt:i4>1835063</vt:i4>
      </vt:variant>
      <vt:variant>
        <vt:i4>38</vt:i4>
      </vt:variant>
      <vt:variant>
        <vt:i4>0</vt:i4>
      </vt:variant>
      <vt:variant>
        <vt:i4>5</vt:i4>
      </vt:variant>
      <vt:variant>
        <vt:lpwstr/>
      </vt:variant>
      <vt:variant>
        <vt:lpwstr>_Toc295813195</vt:lpwstr>
      </vt:variant>
      <vt:variant>
        <vt:i4>1835063</vt:i4>
      </vt:variant>
      <vt:variant>
        <vt:i4>32</vt:i4>
      </vt:variant>
      <vt:variant>
        <vt:i4>0</vt:i4>
      </vt:variant>
      <vt:variant>
        <vt:i4>5</vt:i4>
      </vt:variant>
      <vt:variant>
        <vt:lpwstr/>
      </vt:variant>
      <vt:variant>
        <vt:lpwstr>_Toc295813194</vt:lpwstr>
      </vt:variant>
      <vt:variant>
        <vt:i4>1835063</vt:i4>
      </vt:variant>
      <vt:variant>
        <vt:i4>26</vt:i4>
      </vt:variant>
      <vt:variant>
        <vt:i4>0</vt:i4>
      </vt:variant>
      <vt:variant>
        <vt:i4>5</vt:i4>
      </vt:variant>
      <vt:variant>
        <vt:lpwstr/>
      </vt:variant>
      <vt:variant>
        <vt:lpwstr>_Toc295813193</vt:lpwstr>
      </vt:variant>
      <vt:variant>
        <vt:i4>1835063</vt:i4>
      </vt:variant>
      <vt:variant>
        <vt:i4>20</vt:i4>
      </vt:variant>
      <vt:variant>
        <vt:i4>0</vt:i4>
      </vt:variant>
      <vt:variant>
        <vt:i4>5</vt:i4>
      </vt:variant>
      <vt:variant>
        <vt:lpwstr/>
      </vt:variant>
      <vt:variant>
        <vt:lpwstr>_Toc295813192</vt:lpwstr>
      </vt:variant>
      <vt:variant>
        <vt:i4>1835063</vt:i4>
      </vt:variant>
      <vt:variant>
        <vt:i4>14</vt:i4>
      </vt:variant>
      <vt:variant>
        <vt:i4>0</vt:i4>
      </vt:variant>
      <vt:variant>
        <vt:i4>5</vt:i4>
      </vt:variant>
      <vt:variant>
        <vt:lpwstr/>
      </vt:variant>
      <vt:variant>
        <vt:lpwstr>_Toc295813191</vt:lpwstr>
      </vt:variant>
      <vt:variant>
        <vt:i4>1835063</vt:i4>
      </vt:variant>
      <vt:variant>
        <vt:i4>8</vt:i4>
      </vt:variant>
      <vt:variant>
        <vt:i4>0</vt:i4>
      </vt:variant>
      <vt:variant>
        <vt:i4>5</vt:i4>
      </vt:variant>
      <vt:variant>
        <vt:lpwstr/>
      </vt:variant>
      <vt:variant>
        <vt:lpwstr>_Toc295813190</vt:lpwstr>
      </vt:variant>
      <vt:variant>
        <vt:i4>1900599</vt:i4>
      </vt:variant>
      <vt:variant>
        <vt:i4>2</vt:i4>
      </vt:variant>
      <vt:variant>
        <vt:i4>0</vt:i4>
      </vt:variant>
      <vt:variant>
        <vt:i4>5</vt:i4>
      </vt:variant>
      <vt:variant>
        <vt:lpwstr/>
      </vt:variant>
      <vt:variant>
        <vt:lpwstr>_Toc295813189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Guidelines for places of mass gathering </dc:title>
  <dc:creator/>
  <cp:lastModifiedBy/>
  <cp:revision>1</cp:revision>
  <dcterms:created xsi:type="dcterms:W3CDTF">2015-11-19T00:04:00Z</dcterms:created>
  <dcterms:modified xsi:type="dcterms:W3CDTF">2015-11-19T00:06:00Z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0x01010000905AC2C595F04497E846C0B24B1807</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